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87" w:rsidRDefault="00E95881" w:rsidP="00BE6F87">
      <w:pPr>
        <w:jc w:val="right"/>
        <w:rPr>
          <w:b/>
          <w:caps/>
        </w:rPr>
      </w:pPr>
      <w:bookmarkStart w:id="0" w:name="_Toc410917249"/>
      <w:bookmarkStart w:id="1" w:name="_GoBack"/>
      <w:bookmarkEnd w:id="1"/>
      <w:r>
        <w:rPr>
          <w:b/>
          <w:caps/>
        </w:rPr>
        <w:t>II.</w:t>
      </w:r>
    </w:p>
    <w:p w:rsidR="003C08E3" w:rsidRDefault="00E52B23" w:rsidP="00106789">
      <w:pPr>
        <w:jc w:val="center"/>
        <w:rPr>
          <w:b/>
          <w:caps/>
        </w:rPr>
      </w:pPr>
      <w:r>
        <w:rPr>
          <w:b/>
          <w:caps/>
        </w:rPr>
        <w:t>PŘEDKLÁDACÍ ZPRÁVA</w:t>
      </w:r>
    </w:p>
    <w:p w:rsidR="00106789" w:rsidRDefault="00106789" w:rsidP="008158DC">
      <w:pPr>
        <w:rPr>
          <w:rFonts w:ascii="Times New Roman" w:hAnsi="Times New Roman"/>
          <w:sz w:val="24"/>
        </w:rPr>
      </w:pPr>
    </w:p>
    <w:p w:rsidR="00106789" w:rsidRDefault="00106789" w:rsidP="008158DC">
      <w:pPr>
        <w:rPr>
          <w:lang w:eastAsia="cs-CZ"/>
        </w:rPr>
      </w:pPr>
      <w:r w:rsidRPr="00106789">
        <w:rPr>
          <w:lang w:eastAsia="cs-CZ"/>
        </w:rPr>
        <w:t>Vláda ČR</w:t>
      </w:r>
      <w:r>
        <w:rPr>
          <w:lang w:eastAsia="cs-CZ"/>
        </w:rPr>
        <w:t xml:space="preserve"> svým usnesením </w:t>
      </w:r>
      <w:r w:rsidR="003C08E3">
        <w:rPr>
          <w:lang w:eastAsia="cs-CZ"/>
        </w:rPr>
        <w:t>č. 924 ze dne 12. listopadu 2014 uložila 1. místopředsedovi vlády pro ekonomiku a ministru financí zahájit přípravu centrálního nákupu na úrovni státní správy</w:t>
      </w:r>
      <w:r w:rsidR="0098740C">
        <w:rPr>
          <w:lang w:eastAsia="cs-CZ"/>
        </w:rPr>
        <w:t xml:space="preserve"> </w:t>
      </w:r>
      <w:r w:rsidR="00565BCE">
        <w:rPr>
          <w:lang w:eastAsia="cs-CZ"/>
        </w:rPr>
        <w:t>(ústředních orgánů státní správy a jejich podřízených organizací</w:t>
      </w:r>
      <w:r w:rsidR="00565BCE">
        <w:rPr>
          <w:rStyle w:val="Znakapoznpodarou"/>
          <w:rFonts w:ascii="Times New Roman" w:hAnsi="Times New Roman"/>
          <w:sz w:val="24"/>
        </w:rPr>
        <w:footnoteReference w:id="1"/>
      </w:r>
      <w:r w:rsidR="00565BCE">
        <w:rPr>
          <w:lang w:eastAsia="cs-CZ"/>
        </w:rPr>
        <w:t xml:space="preserve">) </w:t>
      </w:r>
      <w:r w:rsidR="0098740C">
        <w:rPr>
          <w:lang w:eastAsia="cs-CZ"/>
        </w:rPr>
        <w:t xml:space="preserve">a </w:t>
      </w:r>
      <w:r w:rsidR="003C08E3">
        <w:rPr>
          <w:lang w:eastAsia="cs-CZ"/>
        </w:rPr>
        <w:t>předložit vládě ke schválení návrh seznamu komodit určených pro centrální nákup státu a pravidel centrálního nákup</w:t>
      </w:r>
      <w:r w:rsidR="0098740C">
        <w:rPr>
          <w:lang w:eastAsia="cs-CZ"/>
        </w:rPr>
        <w:t>u</w:t>
      </w:r>
      <w:r w:rsidR="003C08E3">
        <w:rPr>
          <w:lang w:eastAsia="cs-CZ"/>
        </w:rPr>
        <w:t xml:space="preserve"> státu.</w:t>
      </w:r>
    </w:p>
    <w:p w:rsidR="008158DC" w:rsidRDefault="0098740C" w:rsidP="008158DC">
      <w:pPr>
        <w:rPr>
          <w:lang w:eastAsia="cs-CZ"/>
        </w:rPr>
      </w:pPr>
      <w:r>
        <w:rPr>
          <w:lang w:eastAsia="cs-CZ"/>
        </w:rPr>
        <w:t xml:space="preserve">Ministerstvo financí zpracovalo za </w:t>
      </w:r>
      <w:r w:rsidR="008158DC">
        <w:rPr>
          <w:lang w:eastAsia="cs-CZ"/>
        </w:rPr>
        <w:t xml:space="preserve">účelem identifikace komodit vhodných pro zařazení </w:t>
      </w:r>
      <w:r w:rsidR="00FB6962">
        <w:rPr>
          <w:lang w:eastAsia="cs-CZ"/>
        </w:rPr>
        <w:br/>
      </w:r>
      <w:r w:rsidR="008158DC">
        <w:rPr>
          <w:lang w:eastAsia="cs-CZ"/>
        </w:rPr>
        <w:t>do centrálního nákupu státu</w:t>
      </w:r>
      <w:r w:rsidR="00717F55">
        <w:rPr>
          <w:lang w:eastAsia="cs-CZ"/>
        </w:rPr>
        <w:t>:</w:t>
      </w:r>
    </w:p>
    <w:p w:rsidR="00717F55" w:rsidRDefault="00717F55" w:rsidP="00E512EC">
      <w:pPr>
        <w:pStyle w:val="Odstavecseseznamem"/>
        <w:keepNext/>
        <w:numPr>
          <w:ilvl w:val="0"/>
          <w:numId w:val="24"/>
        </w:numPr>
        <w:spacing w:before="60" w:after="60"/>
        <w:ind w:left="714" w:hanging="357"/>
        <w:contextualSpacing w:val="0"/>
        <w:rPr>
          <w:lang w:eastAsia="cs-CZ"/>
        </w:rPr>
      </w:pPr>
      <w:r w:rsidRPr="002B0C19">
        <w:rPr>
          <w:b/>
          <w:lang w:eastAsia="cs-CZ"/>
        </w:rPr>
        <w:t>analýz</w:t>
      </w:r>
      <w:r w:rsidR="0098740C" w:rsidRPr="002B0C19">
        <w:rPr>
          <w:b/>
          <w:lang w:eastAsia="cs-CZ"/>
        </w:rPr>
        <w:t>u</w:t>
      </w:r>
      <w:r w:rsidRPr="002B0C19">
        <w:rPr>
          <w:b/>
          <w:lang w:eastAsia="cs-CZ"/>
        </w:rPr>
        <w:t xml:space="preserve"> praxe a zkušeností s realizací centrálního nákupu státu ve vybraných zemích Evropské unie</w:t>
      </w:r>
      <w:r>
        <w:rPr>
          <w:lang w:eastAsia="cs-CZ"/>
        </w:rPr>
        <w:t>;</w:t>
      </w:r>
    </w:p>
    <w:p w:rsidR="00E52B23" w:rsidRDefault="00470BD1" w:rsidP="00470BD1">
      <w:pPr>
        <w:pStyle w:val="Odstavecseseznamem"/>
        <w:keepNext/>
        <w:numPr>
          <w:ilvl w:val="0"/>
          <w:numId w:val="24"/>
        </w:numPr>
        <w:spacing w:before="60" w:after="60"/>
        <w:contextualSpacing w:val="0"/>
        <w:rPr>
          <w:lang w:eastAsia="cs-CZ"/>
        </w:rPr>
      </w:pPr>
      <w:r>
        <w:rPr>
          <w:b/>
          <w:lang w:eastAsia="cs-CZ"/>
        </w:rPr>
        <w:t>a</w:t>
      </w:r>
      <w:r w:rsidRPr="00470BD1">
        <w:rPr>
          <w:b/>
          <w:lang w:eastAsia="cs-CZ"/>
        </w:rPr>
        <w:t>nalýz</w:t>
      </w:r>
      <w:r>
        <w:rPr>
          <w:b/>
          <w:lang w:eastAsia="cs-CZ"/>
        </w:rPr>
        <w:t>u</w:t>
      </w:r>
      <w:r w:rsidRPr="00470BD1">
        <w:rPr>
          <w:b/>
          <w:lang w:eastAsia="cs-CZ"/>
        </w:rPr>
        <w:t xml:space="preserve"> provozních výdajů na úrovni státní správy</w:t>
      </w:r>
      <w:r w:rsidR="0098740C" w:rsidRPr="002B0C19">
        <w:rPr>
          <w:b/>
          <w:lang w:eastAsia="cs-CZ"/>
        </w:rPr>
        <w:t xml:space="preserve"> </w:t>
      </w:r>
      <w:r w:rsidR="00314A67" w:rsidRPr="002B0C19">
        <w:rPr>
          <w:b/>
          <w:lang w:eastAsia="cs-CZ"/>
        </w:rPr>
        <w:t>podle jednotlivých komodit</w:t>
      </w:r>
      <w:r w:rsidR="00E52B23">
        <w:rPr>
          <w:lang w:eastAsia="cs-CZ"/>
        </w:rPr>
        <w:t xml:space="preserve"> dle číselníku NIPEZ;</w:t>
      </w:r>
    </w:p>
    <w:p w:rsidR="00B303D5" w:rsidRPr="00B303D5" w:rsidRDefault="00E52B23" w:rsidP="00E512EC">
      <w:pPr>
        <w:pStyle w:val="Odstavecseseznamem"/>
        <w:keepNext/>
        <w:numPr>
          <w:ilvl w:val="0"/>
          <w:numId w:val="24"/>
        </w:numPr>
        <w:spacing w:before="60" w:after="60"/>
        <w:ind w:left="714" w:hanging="357"/>
        <w:contextualSpacing w:val="0"/>
        <w:rPr>
          <w:lang w:eastAsia="cs-CZ"/>
        </w:rPr>
      </w:pPr>
      <w:r>
        <w:rPr>
          <w:b/>
          <w:lang w:eastAsia="cs-CZ"/>
        </w:rPr>
        <w:t>analýzu rizik spojených s implementací centrálního nákupu státu</w:t>
      </w:r>
      <w:r w:rsidR="00313B35">
        <w:rPr>
          <w:b/>
          <w:lang w:eastAsia="cs-CZ"/>
        </w:rPr>
        <w:t>.</w:t>
      </w:r>
    </w:p>
    <w:bookmarkEnd w:id="0"/>
    <w:p w:rsidR="00E52B23" w:rsidRDefault="00982D63" w:rsidP="00E52B23">
      <w:pPr>
        <w:rPr>
          <w:lang w:eastAsia="cs-CZ"/>
        </w:rPr>
      </w:pPr>
      <w:r>
        <w:rPr>
          <w:lang w:eastAsia="cs-CZ"/>
        </w:rPr>
        <w:t xml:space="preserve">Cílem analýz bylo identifikovat takové komodity, jejichž zařazení do centrálního nákupu státu je v praxi vyzkoušené (komodity přiměřeně snadno </w:t>
      </w:r>
      <w:r w:rsidR="002775CB">
        <w:rPr>
          <w:lang w:eastAsia="cs-CZ"/>
        </w:rPr>
        <w:t xml:space="preserve">technicky definovatelné a </w:t>
      </w:r>
      <w:proofErr w:type="spellStart"/>
      <w:r>
        <w:rPr>
          <w:lang w:eastAsia="cs-CZ"/>
        </w:rPr>
        <w:t>standardizovatelné</w:t>
      </w:r>
      <w:proofErr w:type="spellEnd"/>
      <w:r>
        <w:rPr>
          <w:lang w:eastAsia="cs-CZ"/>
        </w:rPr>
        <w:t xml:space="preserve"> napříč jednotlivými resorty) a</w:t>
      </w:r>
      <w:r w:rsidR="0042630B">
        <w:rPr>
          <w:lang w:eastAsia="cs-CZ"/>
        </w:rPr>
        <w:t xml:space="preserve"> které</w:t>
      </w:r>
      <w:r>
        <w:rPr>
          <w:lang w:eastAsia="cs-CZ"/>
        </w:rPr>
        <w:t xml:space="preserve"> jsou poptávány v rámci všech resortů</w:t>
      </w:r>
      <w:r w:rsidRPr="00982D63">
        <w:rPr>
          <w:lang w:eastAsia="cs-CZ"/>
        </w:rPr>
        <w:t xml:space="preserve"> </w:t>
      </w:r>
      <w:r>
        <w:rPr>
          <w:lang w:eastAsia="cs-CZ"/>
        </w:rPr>
        <w:t xml:space="preserve">v  relevantním objemu, </w:t>
      </w:r>
      <w:r w:rsidR="0042630B">
        <w:rPr>
          <w:lang w:eastAsia="cs-CZ"/>
        </w:rPr>
        <w:t>jenž</w:t>
      </w:r>
      <w:r>
        <w:rPr>
          <w:lang w:eastAsia="cs-CZ"/>
        </w:rPr>
        <w:t xml:space="preserve"> s sebou nese </w:t>
      </w:r>
      <w:r w:rsidR="002775CB">
        <w:rPr>
          <w:lang w:eastAsia="cs-CZ"/>
        </w:rPr>
        <w:t xml:space="preserve">dostatečný </w:t>
      </w:r>
      <w:r>
        <w:rPr>
          <w:lang w:eastAsia="cs-CZ"/>
        </w:rPr>
        <w:t>potenciál dosažitelných úspor.</w:t>
      </w:r>
      <w:r w:rsidR="00E52B23">
        <w:rPr>
          <w:lang w:eastAsia="cs-CZ"/>
        </w:rPr>
        <w:t xml:space="preserve"> </w:t>
      </w:r>
    </w:p>
    <w:p w:rsidR="001067B8" w:rsidRDefault="001067B8" w:rsidP="00E52B23">
      <w:pPr>
        <w:rPr>
          <w:lang w:eastAsia="cs-CZ"/>
        </w:rPr>
      </w:pPr>
      <w:r>
        <w:rPr>
          <w:lang w:eastAsia="cs-CZ"/>
        </w:rPr>
        <w:t xml:space="preserve">Ministerstvo financí rovněž v rámci přípravy centrálního nákupu státu realizuje </w:t>
      </w:r>
      <w:r w:rsidR="00B107FB">
        <w:rPr>
          <w:lang w:eastAsia="cs-CZ"/>
        </w:rPr>
        <w:t xml:space="preserve">od ledna 2015 </w:t>
      </w:r>
      <w:r w:rsidR="00FE1B62">
        <w:rPr>
          <w:lang w:eastAsia="cs-CZ"/>
        </w:rPr>
        <w:t xml:space="preserve">přípravný </w:t>
      </w:r>
      <w:r>
        <w:rPr>
          <w:lang w:eastAsia="cs-CZ"/>
        </w:rPr>
        <w:t>projekt, v rámci kterého je meziresortně stanovován standard 3 komodit (kancelářský papír, pohonné hmoty, osobní automobily), pro který je následně připravována společná centrální veřejná zakázka.  Do tohoto projektu je zapojeno 145 organizací v resortech Ministerstva financí, Ministerstva spravedlnosti, Ministerstva životního prostředí, Ministerstva dopravy, Ministerstva obrany a Ministerstva pro místní rozvoj.</w:t>
      </w:r>
      <w:r w:rsidR="00B107FB">
        <w:rPr>
          <w:lang w:eastAsia="cs-CZ"/>
        </w:rPr>
        <w:t xml:space="preserve"> V rámci projektu již proběhla standardizace a sběr požadavků. V současné době jsou připravovány podklady pro zahájení centrální veřejné zakázky 6 resortů na kancelářský papír, další 2 centrální veřejné zakázky budou následovat v průběhu roku 2015.</w:t>
      </w:r>
    </w:p>
    <w:p w:rsidR="00314A67" w:rsidRDefault="00E52B23" w:rsidP="00E52B23">
      <w:pPr>
        <w:rPr>
          <w:lang w:eastAsia="cs-CZ"/>
        </w:rPr>
      </w:pPr>
      <w:r>
        <w:rPr>
          <w:lang w:eastAsia="cs-CZ"/>
        </w:rPr>
        <w:t xml:space="preserve">Cílem analýzy rizik bylo vyhodnotit </w:t>
      </w:r>
      <w:r w:rsidR="00B107FB">
        <w:rPr>
          <w:lang w:eastAsia="cs-CZ"/>
        </w:rPr>
        <w:t>jak zkušenosti s</w:t>
      </w:r>
      <w:r w:rsidR="00FE1B62">
        <w:rPr>
          <w:lang w:eastAsia="cs-CZ"/>
        </w:rPr>
        <w:t> přípravným</w:t>
      </w:r>
      <w:r w:rsidR="00B107FB">
        <w:rPr>
          <w:lang w:eastAsia="cs-CZ"/>
        </w:rPr>
        <w:t xml:space="preserve"> projektem centrálního nákupu 6 resortů, tak </w:t>
      </w:r>
      <w:r>
        <w:rPr>
          <w:lang w:eastAsia="cs-CZ"/>
        </w:rPr>
        <w:t>zkušenosti s centralizací nákupu na úrovni jednotlivých resortů uložené usnesením vlády č. 563 ze dne 20. července 2011, k resortním systémům centralizovaného zadávání veřejných zakázek ústředních orgánů státní správy, a</w:t>
      </w:r>
      <w:r w:rsidRPr="00E52B23">
        <w:rPr>
          <w:lang w:eastAsia="cs-CZ"/>
        </w:rPr>
        <w:t xml:space="preserve"> </w:t>
      </w:r>
      <w:r>
        <w:rPr>
          <w:lang w:eastAsia="cs-CZ"/>
        </w:rPr>
        <w:t xml:space="preserve">zohlednit získané zkušenosti při návrhu pravidel centrálního nákupu státu tak, aby se </w:t>
      </w:r>
      <w:r w:rsidR="00855B05">
        <w:rPr>
          <w:lang w:eastAsia="cs-CZ"/>
        </w:rPr>
        <w:t xml:space="preserve">v praxi </w:t>
      </w:r>
      <w:r>
        <w:rPr>
          <w:lang w:eastAsia="cs-CZ"/>
        </w:rPr>
        <w:t>jednalo o funkční systém.</w:t>
      </w:r>
    </w:p>
    <w:p w:rsidR="0049067B" w:rsidRDefault="0049067B" w:rsidP="00FB6962">
      <w:pPr>
        <w:pStyle w:val="Odstavecseseznamem"/>
        <w:numPr>
          <w:ilvl w:val="0"/>
          <w:numId w:val="31"/>
        </w:numPr>
        <w:spacing w:before="120"/>
        <w:ind w:left="357" w:hanging="357"/>
        <w:contextualSpacing w:val="0"/>
        <w:rPr>
          <w:b/>
          <w:lang w:eastAsia="cs-CZ"/>
        </w:rPr>
        <w:sectPr w:rsidR="0049067B" w:rsidSect="007D0312">
          <w:footerReference w:type="default" r:id="rId9"/>
          <w:pgSz w:w="11906" w:h="16838"/>
          <w:pgMar w:top="1417" w:right="1417" w:bottom="1417" w:left="1417" w:header="708" w:footer="708" w:gutter="0"/>
          <w:cols w:space="708"/>
          <w:docGrid w:linePitch="360"/>
        </w:sectPr>
      </w:pPr>
    </w:p>
    <w:p w:rsidR="006B62C3" w:rsidRPr="002B0C19" w:rsidRDefault="00855B05" w:rsidP="00FB6962">
      <w:pPr>
        <w:pStyle w:val="Odstavecseseznamem"/>
        <w:numPr>
          <w:ilvl w:val="0"/>
          <w:numId w:val="31"/>
        </w:numPr>
        <w:spacing w:before="120"/>
        <w:ind w:left="357" w:hanging="357"/>
        <w:contextualSpacing w:val="0"/>
        <w:rPr>
          <w:b/>
          <w:lang w:eastAsia="cs-CZ"/>
        </w:rPr>
      </w:pPr>
      <w:r>
        <w:rPr>
          <w:b/>
          <w:lang w:eastAsia="cs-CZ"/>
        </w:rPr>
        <w:lastRenderedPageBreak/>
        <w:t>Hlavní zjištění z a</w:t>
      </w:r>
      <w:r w:rsidRPr="002B0C19">
        <w:rPr>
          <w:b/>
          <w:lang w:eastAsia="cs-CZ"/>
        </w:rPr>
        <w:t>nalýz</w:t>
      </w:r>
      <w:r>
        <w:rPr>
          <w:b/>
          <w:lang w:eastAsia="cs-CZ"/>
        </w:rPr>
        <w:t>y</w:t>
      </w:r>
      <w:r w:rsidRPr="002B0C19">
        <w:rPr>
          <w:b/>
          <w:lang w:eastAsia="cs-CZ"/>
        </w:rPr>
        <w:t xml:space="preserve"> praxe a zkušeností s realizací centrálního nákupu státu ve vybraných zemích Evropské unie</w:t>
      </w:r>
    </w:p>
    <w:p w:rsidR="00A2218E" w:rsidRDefault="00A2218E" w:rsidP="00BA2FB8">
      <w:pPr>
        <w:rPr>
          <w:lang w:eastAsia="cs-CZ"/>
        </w:rPr>
      </w:pPr>
      <w:r>
        <w:rPr>
          <w:lang w:eastAsia="cs-CZ"/>
        </w:rPr>
        <w:t>Pro identifikaci k</w:t>
      </w:r>
      <w:r w:rsidR="002775CB">
        <w:rPr>
          <w:lang w:eastAsia="cs-CZ"/>
        </w:rPr>
        <w:t xml:space="preserve">omodit </w:t>
      </w:r>
      <w:r w:rsidR="002322B9">
        <w:rPr>
          <w:lang w:eastAsia="cs-CZ"/>
        </w:rPr>
        <w:t xml:space="preserve">vhodných </w:t>
      </w:r>
      <w:r w:rsidR="002775CB">
        <w:rPr>
          <w:lang w:eastAsia="cs-CZ"/>
        </w:rPr>
        <w:t>pro centrální nákup byl</w:t>
      </w:r>
      <w:r w:rsidR="0042630B">
        <w:rPr>
          <w:lang w:eastAsia="cs-CZ"/>
        </w:rPr>
        <w:t>a</w:t>
      </w:r>
      <w:r w:rsidR="002775CB">
        <w:rPr>
          <w:lang w:eastAsia="cs-CZ"/>
        </w:rPr>
        <w:t xml:space="preserve"> analyzován</w:t>
      </w:r>
      <w:r w:rsidR="0042630B">
        <w:rPr>
          <w:lang w:eastAsia="cs-CZ"/>
        </w:rPr>
        <w:t>a</w:t>
      </w:r>
      <w:r w:rsidR="002775CB">
        <w:rPr>
          <w:lang w:eastAsia="cs-CZ"/>
        </w:rPr>
        <w:t xml:space="preserve"> </w:t>
      </w:r>
      <w:r w:rsidR="0042630B">
        <w:rPr>
          <w:lang w:eastAsia="cs-CZ"/>
        </w:rPr>
        <w:t>praxe</w:t>
      </w:r>
      <w:r>
        <w:rPr>
          <w:lang w:eastAsia="cs-CZ"/>
        </w:rPr>
        <w:t xml:space="preserve"> v pěti zemích Evropské unie: Rakousk</w:t>
      </w:r>
      <w:r w:rsidR="002775CB">
        <w:rPr>
          <w:lang w:eastAsia="cs-CZ"/>
        </w:rPr>
        <w:t>u</w:t>
      </w:r>
      <w:r w:rsidR="00672B11">
        <w:rPr>
          <w:lang w:eastAsia="cs-CZ"/>
        </w:rPr>
        <w:t xml:space="preserve">, </w:t>
      </w:r>
      <w:r w:rsidR="00E01215">
        <w:rPr>
          <w:lang w:eastAsia="cs-CZ"/>
        </w:rPr>
        <w:t>Velké Británii</w:t>
      </w:r>
      <w:r w:rsidR="00672B11">
        <w:rPr>
          <w:lang w:eastAsia="cs-CZ"/>
        </w:rPr>
        <w:t>, Německu,</w:t>
      </w:r>
      <w:r w:rsidR="00672B11" w:rsidRPr="00672B11">
        <w:rPr>
          <w:lang w:eastAsia="cs-CZ"/>
        </w:rPr>
        <w:t xml:space="preserve"> </w:t>
      </w:r>
      <w:r w:rsidR="00672B11">
        <w:rPr>
          <w:lang w:eastAsia="cs-CZ"/>
        </w:rPr>
        <w:t>Francii</w:t>
      </w:r>
      <w:r w:rsidR="00672B11" w:rsidRPr="00672B11">
        <w:rPr>
          <w:lang w:eastAsia="cs-CZ"/>
        </w:rPr>
        <w:t xml:space="preserve"> </w:t>
      </w:r>
      <w:r w:rsidR="00672B11">
        <w:rPr>
          <w:lang w:eastAsia="cs-CZ"/>
        </w:rPr>
        <w:t>a Itálii</w:t>
      </w:r>
      <w:r>
        <w:rPr>
          <w:lang w:eastAsia="cs-CZ"/>
        </w:rPr>
        <w:t xml:space="preserve">. Ve všech těchto zemích centrální nákup </w:t>
      </w:r>
      <w:r w:rsidR="0042630B">
        <w:rPr>
          <w:lang w:eastAsia="cs-CZ"/>
        </w:rPr>
        <w:t xml:space="preserve">státu </w:t>
      </w:r>
      <w:r>
        <w:rPr>
          <w:lang w:eastAsia="cs-CZ"/>
        </w:rPr>
        <w:t xml:space="preserve">probíhá </w:t>
      </w:r>
      <w:r w:rsidR="0042630B">
        <w:rPr>
          <w:lang w:eastAsia="cs-CZ"/>
        </w:rPr>
        <w:t>řadu let</w:t>
      </w:r>
      <w:r w:rsidR="00881AEE">
        <w:rPr>
          <w:lang w:eastAsia="cs-CZ"/>
        </w:rPr>
        <w:t>, dosa</w:t>
      </w:r>
      <w:r w:rsidR="00E6525B">
        <w:rPr>
          <w:lang w:eastAsia="cs-CZ"/>
        </w:rPr>
        <w:t>žené</w:t>
      </w:r>
      <w:r w:rsidR="00881AEE">
        <w:rPr>
          <w:lang w:eastAsia="cs-CZ"/>
        </w:rPr>
        <w:t xml:space="preserve"> úspory se pohybují v řádu mezi 15-25%</w:t>
      </w:r>
      <w:r>
        <w:rPr>
          <w:lang w:eastAsia="cs-CZ"/>
        </w:rPr>
        <w:t>.</w:t>
      </w:r>
      <w:r w:rsidR="0042630B">
        <w:rPr>
          <w:lang w:eastAsia="cs-CZ"/>
        </w:rPr>
        <w:t xml:space="preserve"> </w:t>
      </w:r>
      <w:r w:rsidR="00881AEE" w:rsidRPr="006B62C3">
        <w:rPr>
          <w:b/>
          <w:lang w:eastAsia="cs-CZ"/>
        </w:rPr>
        <w:t>Mezi komodity zařazené</w:t>
      </w:r>
      <w:r w:rsidR="00E709F5" w:rsidRPr="006B62C3">
        <w:rPr>
          <w:b/>
          <w:lang w:eastAsia="cs-CZ"/>
        </w:rPr>
        <w:t xml:space="preserve"> do centrálního nákup</w:t>
      </w:r>
      <w:r w:rsidR="00E512EC" w:rsidRPr="006B62C3">
        <w:rPr>
          <w:b/>
          <w:lang w:eastAsia="cs-CZ"/>
        </w:rPr>
        <w:t>u</w:t>
      </w:r>
      <w:r w:rsidR="00E709F5" w:rsidRPr="006B62C3">
        <w:rPr>
          <w:b/>
          <w:lang w:eastAsia="cs-CZ"/>
        </w:rPr>
        <w:t xml:space="preserve"> </w:t>
      </w:r>
      <w:r w:rsidR="00E512EC" w:rsidRPr="006B62C3">
        <w:rPr>
          <w:b/>
          <w:lang w:eastAsia="cs-CZ"/>
        </w:rPr>
        <w:t>patří v</w:t>
      </w:r>
      <w:r w:rsidR="00E709F5" w:rsidRPr="006B62C3">
        <w:rPr>
          <w:b/>
          <w:lang w:eastAsia="cs-CZ"/>
        </w:rPr>
        <w:t xml:space="preserve"> analyzovaných zemích zejména:</w:t>
      </w:r>
    </w:p>
    <w:p w:rsidR="0016134A" w:rsidRDefault="006D6C71" w:rsidP="00855B05">
      <w:pPr>
        <w:pStyle w:val="Odstavecseseznamem"/>
        <w:numPr>
          <w:ilvl w:val="0"/>
          <w:numId w:val="26"/>
        </w:numPr>
        <w:spacing w:before="60" w:after="60"/>
        <w:ind w:left="714" w:hanging="357"/>
        <w:contextualSpacing w:val="0"/>
        <w:rPr>
          <w:lang w:eastAsia="cs-CZ"/>
        </w:rPr>
      </w:pPr>
      <w:r>
        <w:rPr>
          <w:lang w:eastAsia="cs-CZ"/>
        </w:rPr>
        <w:t>Elektřina, zemní plyn, teplo a pohonné hmoty</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Telekomunikace (pošta, mobilní, pevné a datové služby)</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Úklid budov, ochrana budov a majetku</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Vozový park (vozidla, údržba, pronájem)</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Mobilita (letenky, ubytování atd.)</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Kancelářské vybavení (kancelářské potřeby, kancelářská technika)</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Nábytek</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Tisk (noviny, časopisy, knihy)</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Potraviny</w:t>
      </w:r>
    </w:p>
    <w:p w:rsidR="006D6C71" w:rsidRDefault="006D6C71" w:rsidP="00855B05">
      <w:pPr>
        <w:pStyle w:val="Odstavecseseznamem"/>
        <w:numPr>
          <w:ilvl w:val="0"/>
          <w:numId w:val="26"/>
        </w:numPr>
        <w:spacing w:before="60" w:after="60"/>
        <w:ind w:left="714" w:hanging="357"/>
        <w:contextualSpacing w:val="0"/>
        <w:rPr>
          <w:lang w:eastAsia="cs-CZ"/>
        </w:rPr>
      </w:pPr>
      <w:r>
        <w:rPr>
          <w:lang w:eastAsia="cs-CZ"/>
        </w:rPr>
        <w:t>Pojištění</w:t>
      </w:r>
    </w:p>
    <w:p w:rsidR="0016134A" w:rsidRDefault="0016134A" w:rsidP="0016134A">
      <w:pPr>
        <w:keepNext/>
        <w:rPr>
          <w:lang w:eastAsia="cs-CZ"/>
        </w:rPr>
      </w:pPr>
      <w:r>
        <w:rPr>
          <w:lang w:eastAsia="cs-CZ"/>
        </w:rPr>
        <w:t xml:space="preserve">V některých </w:t>
      </w:r>
      <w:r w:rsidR="00E512EC">
        <w:rPr>
          <w:lang w:eastAsia="cs-CZ"/>
        </w:rPr>
        <w:t>výše uvedených zemích</w:t>
      </w:r>
      <w:r>
        <w:rPr>
          <w:lang w:eastAsia="cs-CZ"/>
        </w:rPr>
        <w:t xml:space="preserve"> jsou centrálně nakupovány i služby v oblasti komunikace</w:t>
      </w:r>
      <w:r w:rsidR="00FB179E">
        <w:rPr>
          <w:lang w:eastAsia="cs-CZ"/>
        </w:rPr>
        <w:t xml:space="preserve"> (reklama, PR poradenství), projektov</w:t>
      </w:r>
      <w:r w:rsidR="00E512EC">
        <w:rPr>
          <w:lang w:eastAsia="cs-CZ"/>
        </w:rPr>
        <w:t>ého</w:t>
      </w:r>
      <w:r w:rsidR="00FB179E">
        <w:rPr>
          <w:lang w:eastAsia="cs-CZ"/>
        </w:rPr>
        <w:t xml:space="preserve"> management</w:t>
      </w:r>
      <w:r w:rsidR="00E512EC">
        <w:rPr>
          <w:lang w:eastAsia="cs-CZ"/>
        </w:rPr>
        <w:t>u</w:t>
      </w:r>
      <w:r w:rsidR="00FB179E">
        <w:rPr>
          <w:lang w:eastAsia="cs-CZ"/>
        </w:rPr>
        <w:t>, pojištění a finanční služby či další odborné služby (poradenství, krátkodobé zaměstnávání odborných pracovníků, právní služby).</w:t>
      </w:r>
    </w:p>
    <w:p w:rsidR="0016134A" w:rsidRDefault="00FB179E" w:rsidP="0016134A">
      <w:pPr>
        <w:keepNext/>
        <w:rPr>
          <w:lang w:eastAsia="cs-CZ"/>
        </w:rPr>
      </w:pPr>
      <w:r>
        <w:rPr>
          <w:lang w:eastAsia="cs-CZ"/>
        </w:rPr>
        <w:t xml:space="preserve">Nákup probíhá zpravidla formou </w:t>
      </w:r>
      <w:r w:rsidRPr="006B62C3">
        <w:rPr>
          <w:b/>
          <w:lang w:eastAsia="cs-CZ"/>
        </w:rPr>
        <w:t xml:space="preserve">uzavření </w:t>
      </w:r>
      <w:r w:rsidR="002322B9" w:rsidRPr="006B62C3">
        <w:rPr>
          <w:b/>
          <w:lang w:eastAsia="cs-CZ"/>
        </w:rPr>
        <w:t xml:space="preserve">centrálních </w:t>
      </w:r>
      <w:r w:rsidRPr="006B62C3">
        <w:rPr>
          <w:b/>
          <w:lang w:eastAsia="cs-CZ"/>
        </w:rPr>
        <w:t xml:space="preserve">rámcových smluv, na základě kterých si již objednávky zajišťují samy </w:t>
      </w:r>
      <w:r w:rsidR="00087033" w:rsidRPr="006B62C3">
        <w:rPr>
          <w:b/>
          <w:lang w:eastAsia="cs-CZ"/>
        </w:rPr>
        <w:t xml:space="preserve">jednotlivé organizace </w:t>
      </w:r>
      <w:r w:rsidRPr="006B62C3">
        <w:rPr>
          <w:b/>
          <w:lang w:eastAsia="cs-CZ"/>
        </w:rPr>
        <w:t>svým jménem a na svůj účet</w:t>
      </w:r>
      <w:r w:rsidR="00087033" w:rsidRPr="006B62C3">
        <w:rPr>
          <w:b/>
          <w:lang w:eastAsia="cs-CZ"/>
        </w:rPr>
        <w:t>.</w:t>
      </w:r>
      <w:r>
        <w:rPr>
          <w:lang w:eastAsia="cs-CZ"/>
        </w:rPr>
        <w:t xml:space="preserve"> </w:t>
      </w:r>
      <w:r w:rsidR="00087033">
        <w:rPr>
          <w:lang w:eastAsia="cs-CZ"/>
        </w:rPr>
        <w:t xml:space="preserve">Ve značné míře </w:t>
      </w:r>
      <w:r>
        <w:rPr>
          <w:lang w:eastAsia="cs-CZ"/>
        </w:rPr>
        <w:t xml:space="preserve">jsou </w:t>
      </w:r>
      <w:r w:rsidR="00087033">
        <w:rPr>
          <w:lang w:eastAsia="cs-CZ"/>
        </w:rPr>
        <w:t>pro realizaci centrálního nákupu využívány</w:t>
      </w:r>
      <w:r>
        <w:rPr>
          <w:lang w:eastAsia="cs-CZ"/>
        </w:rPr>
        <w:t xml:space="preserve"> </w:t>
      </w:r>
      <w:r w:rsidR="00087033">
        <w:rPr>
          <w:lang w:eastAsia="cs-CZ"/>
        </w:rPr>
        <w:t>elektronické nástroje</w:t>
      </w:r>
      <w:r>
        <w:rPr>
          <w:lang w:eastAsia="cs-CZ"/>
        </w:rPr>
        <w:t xml:space="preserve"> (dynamické nákupní systémy, elektronické katalogy).</w:t>
      </w:r>
      <w:r w:rsidR="00087033">
        <w:rPr>
          <w:lang w:eastAsia="cs-CZ"/>
        </w:rPr>
        <w:t xml:space="preserve"> Tím dochází k</w:t>
      </w:r>
      <w:r w:rsidR="00E512EC">
        <w:rPr>
          <w:lang w:eastAsia="cs-CZ"/>
        </w:rPr>
        <w:t>e</w:t>
      </w:r>
      <w:r w:rsidR="00087033">
        <w:rPr>
          <w:lang w:eastAsia="cs-CZ"/>
        </w:rPr>
        <w:t> snižování administrativní zátěže centrálního zadavatele a</w:t>
      </w:r>
      <w:r w:rsidR="00E512EC">
        <w:rPr>
          <w:lang w:eastAsia="cs-CZ"/>
        </w:rPr>
        <w:t xml:space="preserve"> zejména k</w:t>
      </w:r>
      <w:r w:rsidR="00087033">
        <w:rPr>
          <w:lang w:eastAsia="cs-CZ"/>
        </w:rPr>
        <w:t xml:space="preserve"> zajištění potřebné míry operativnosti a časové flexibility nákupu</w:t>
      </w:r>
      <w:r w:rsidR="006A43DD">
        <w:rPr>
          <w:lang w:eastAsia="cs-CZ"/>
        </w:rPr>
        <w:t xml:space="preserve">, která by jinak při takovém rozsahu zúčastněných subjektů a objemu realizovaných dodávek </w:t>
      </w:r>
      <w:r w:rsidR="002322B9">
        <w:rPr>
          <w:lang w:eastAsia="cs-CZ"/>
        </w:rPr>
        <w:t xml:space="preserve">nebyla </w:t>
      </w:r>
      <w:r w:rsidR="006A43DD">
        <w:rPr>
          <w:lang w:eastAsia="cs-CZ"/>
        </w:rPr>
        <w:t>možná</w:t>
      </w:r>
      <w:r w:rsidR="00087033">
        <w:rPr>
          <w:lang w:eastAsia="cs-CZ"/>
        </w:rPr>
        <w:t>.</w:t>
      </w:r>
    </w:p>
    <w:p w:rsidR="00855B05" w:rsidRPr="00855B05" w:rsidRDefault="00855B05" w:rsidP="00FB6962">
      <w:pPr>
        <w:pStyle w:val="Odstavecseseznamem"/>
        <w:numPr>
          <w:ilvl w:val="0"/>
          <w:numId w:val="31"/>
        </w:numPr>
        <w:spacing w:before="120"/>
        <w:ind w:left="357" w:hanging="357"/>
        <w:contextualSpacing w:val="0"/>
        <w:rPr>
          <w:b/>
          <w:lang w:eastAsia="cs-CZ"/>
        </w:rPr>
      </w:pPr>
      <w:r>
        <w:rPr>
          <w:b/>
          <w:lang w:eastAsia="cs-CZ"/>
        </w:rPr>
        <w:t xml:space="preserve">Hlavní zjištění z </w:t>
      </w:r>
      <w:r w:rsidRPr="00855B05">
        <w:rPr>
          <w:b/>
          <w:lang w:eastAsia="cs-CZ"/>
        </w:rPr>
        <w:t>analýz</w:t>
      </w:r>
      <w:r>
        <w:rPr>
          <w:b/>
          <w:lang w:eastAsia="cs-CZ"/>
        </w:rPr>
        <w:t>y</w:t>
      </w:r>
      <w:r w:rsidRPr="00855B05">
        <w:rPr>
          <w:b/>
          <w:lang w:eastAsia="cs-CZ"/>
        </w:rPr>
        <w:t xml:space="preserve"> </w:t>
      </w:r>
      <w:r w:rsidR="00470BD1" w:rsidRPr="00470BD1">
        <w:rPr>
          <w:b/>
          <w:lang w:eastAsia="cs-CZ"/>
        </w:rPr>
        <w:t>provozních výdajů na úrovni státní správy</w:t>
      </w:r>
    </w:p>
    <w:p w:rsidR="00E512EC" w:rsidRPr="006B62C3" w:rsidRDefault="00E64823" w:rsidP="000716BF">
      <w:pPr>
        <w:rPr>
          <w:b/>
          <w:lang w:eastAsia="cs-CZ"/>
        </w:rPr>
      </w:pPr>
      <w:r>
        <w:rPr>
          <w:lang w:eastAsia="cs-CZ"/>
        </w:rPr>
        <w:t xml:space="preserve">Na základě komodit </w:t>
      </w:r>
      <w:r w:rsidR="00E512EC">
        <w:rPr>
          <w:lang w:eastAsia="cs-CZ"/>
        </w:rPr>
        <w:t>vytipovaných</w:t>
      </w:r>
      <w:r>
        <w:rPr>
          <w:lang w:eastAsia="cs-CZ"/>
        </w:rPr>
        <w:t xml:space="preserve"> pro centrální nákup </w:t>
      </w:r>
      <w:r w:rsidR="00E512EC">
        <w:rPr>
          <w:lang w:eastAsia="cs-CZ"/>
        </w:rPr>
        <w:t xml:space="preserve">ze zkušeností ostatních zemí provedlo Ministerstvo financí </w:t>
      </w:r>
      <w:r w:rsidR="00E512EC" w:rsidRPr="006B62C3">
        <w:rPr>
          <w:b/>
          <w:lang w:eastAsia="cs-CZ"/>
        </w:rPr>
        <w:t xml:space="preserve">analýzu skutečně realizovaných </w:t>
      </w:r>
      <w:r w:rsidR="006B62C3">
        <w:rPr>
          <w:b/>
          <w:lang w:eastAsia="cs-CZ"/>
        </w:rPr>
        <w:t xml:space="preserve">provozních </w:t>
      </w:r>
      <w:r w:rsidR="00E512EC" w:rsidRPr="006B62C3">
        <w:rPr>
          <w:b/>
          <w:lang w:eastAsia="cs-CZ"/>
        </w:rPr>
        <w:t>výdajů státní správy</w:t>
      </w:r>
      <w:r w:rsidR="00DC3ADE" w:rsidRPr="006B62C3">
        <w:rPr>
          <w:b/>
          <w:lang w:eastAsia="cs-CZ"/>
        </w:rPr>
        <w:t xml:space="preserve"> s cílem potvrdit relevanci těchto komodit ve výdajích jednotlivých resortů a tedy i potenciál úspor dosažitelných prostřednictvím centrálního nákupu státu. </w:t>
      </w:r>
    </w:p>
    <w:p w:rsidR="00D7014F" w:rsidRPr="002B0C19" w:rsidRDefault="006B62C3" w:rsidP="00D7014F">
      <w:pPr>
        <w:rPr>
          <w:b/>
          <w:lang w:eastAsia="cs-CZ"/>
        </w:rPr>
      </w:pPr>
      <w:r>
        <w:rPr>
          <w:lang w:eastAsia="cs-CZ"/>
        </w:rPr>
        <w:t>Provozní v</w:t>
      </w:r>
      <w:r w:rsidR="00D7014F">
        <w:rPr>
          <w:lang w:eastAsia="cs-CZ"/>
        </w:rPr>
        <w:t>ýdajová analýza byla zpracovaná na vzorku 6 resortů</w:t>
      </w:r>
      <w:r w:rsidR="005F2CF0">
        <w:rPr>
          <w:rStyle w:val="Znakapoznpodarou"/>
          <w:lang w:eastAsia="cs-CZ"/>
        </w:rPr>
        <w:footnoteReference w:id="2"/>
      </w:r>
      <w:r w:rsidR="00D7014F">
        <w:rPr>
          <w:lang w:eastAsia="cs-CZ"/>
        </w:rPr>
        <w:t xml:space="preserve"> na základě přehledu a kategorizace jimi uhrazených faktur za rok 2013. </w:t>
      </w:r>
      <w:r w:rsidR="00264400">
        <w:rPr>
          <w:lang w:eastAsia="cs-CZ"/>
        </w:rPr>
        <w:t>Podíl těchto resortů na celkovém objemu veřejných zakázek zadávaných ústředními organizačními složkami státu a j</w:t>
      </w:r>
      <w:r w:rsidR="003F7829">
        <w:rPr>
          <w:lang w:eastAsia="cs-CZ"/>
        </w:rPr>
        <w:t>ejich</w:t>
      </w:r>
      <w:r w:rsidR="00264400">
        <w:rPr>
          <w:lang w:eastAsia="cs-CZ"/>
        </w:rPr>
        <w:t xml:space="preserve"> podřízenými organizacemi činí </w:t>
      </w:r>
      <w:r w:rsidR="007B0C07">
        <w:rPr>
          <w:lang w:eastAsia="cs-CZ"/>
        </w:rPr>
        <w:t>31,7 %</w:t>
      </w:r>
      <w:r w:rsidR="00264400">
        <w:rPr>
          <w:lang w:eastAsia="cs-CZ"/>
        </w:rPr>
        <w:t xml:space="preserve">, jedná se tedy o reprezentativní vzorek výdajů na úrovni státní správy. </w:t>
      </w:r>
      <w:r w:rsidR="00D7014F" w:rsidRPr="002B0C19">
        <w:rPr>
          <w:b/>
          <w:lang w:eastAsia="cs-CZ"/>
        </w:rPr>
        <w:t>Celkem</w:t>
      </w:r>
      <w:r w:rsidR="00264400" w:rsidRPr="002B0C19">
        <w:rPr>
          <w:b/>
          <w:lang w:eastAsia="cs-CZ"/>
        </w:rPr>
        <w:t xml:space="preserve"> </w:t>
      </w:r>
      <w:r w:rsidR="00D7014F" w:rsidRPr="002B0C19">
        <w:rPr>
          <w:b/>
          <w:lang w:eastAsia="cs-CZ"/>
        </w:rPr>
        <w:t xml:space="preserve">bylo analyzováno </w:t>
      </w:r>
      <w:r w:rsidR="00264400" w:rsidRPr="002B0C19">
        <w:rPr>
          <w:b/>
          <w:lang w:eastAsia="cs-CZ"/>
        </w:rPr>
        <w:t>80 680 faktur o celkovém finančním objemu 20,8 mld. Kč</w:t>
      </w:r>
      <w:r w:rsidR="00DF21A8" w:rsidRPr="002B0C19">
        <w:rPr>
          <w:b/>
          <w:lang w:eastAsia="cs-CZ"/>
        </w:rPr>
        <w:t>.</w:t>
      </w:r>
      <w:r w:rsidR="00264400" w:rsidRPr="002B0C19">
        <w:rPr>
          <w:b/>
          <w:lang w:eastAsia="cs-CZ"/>
        </w:rPr>
        <w:t xml:space="preserve"> </w:t>
      </w:r>
    </w:p>
    <w:p w:rsidR="00E24B86" w:rsidRDefault="00E24B86" w:rsidP="0092134D">
      <w:pPr>
        <w:rPr>
          <w:noProof/>
          <w:lang w:eastAsia="cs-CZ"/>
        </w:rPr>
        <w:sectPr w:rsidR="00E24B86" w:rsidSect="007D0312">
          <w:pgSz w:w="11906" w:h="16838"/>
          <w:pgMar w:top="1417" w:right="1417" w:bottom="1417" w:left="1417" w:header="708" w:footer="708" w:gutter="0"/>
          <w:cols w:space="708"/>
          <w:docGrid w:linePitch="360"/>
        </w:sectPr>
      </w:pPr>
    </w:p>
    <w:p w:rsidR="0092134D" w:rsidRDefault="0092134D" w:rsidP="0092134D">
      <w:pPr>
        <w:rPr>
          <w:noProof/>
          <w:lang w:eastAsia="cs-CZ"/>
        </w:rPr>
      </w:pPr>
      <w:r>
        <w:rPr>
          <w:noProof/>
          <w:lang w:eastAsia="cs-CZ"/>
        </w:rPr>
        <w:lastRenderedPageBreak/>
        <w:t>Z provedené analýzy je patrná následující komoditní struktura výdajů resortů:</w:t>
      </w:r>
    </w:p>
    <w:tbl>
      <w:tblPr>
        <w:tblW w:w="0" w:type="auto"/>
        <w:tblInd w:w="55" w:type="dxa"/>
        <w:tblLayout w:type="fixed"/>
        <w:tblCellMar>
          <w:left w:w="70" w:type="dxa"/>
          <w:right w:w="70" w:type="dxa"/>
        </w:tblCellMar>
        <w:tblLook w:val="04A0" w:firstRow="1" w:lastRow="0" w:firstColumn="1" w:lastColumn="0" w:noHBand="0" w:noVBand="1"/>
      </w:tblPr>
      <w:tblGrid>
        <w:gridCol w:w="305"/>
        <w:gridCol w:w="4530"/>
        <w:gridCol w:w="1172"/>
        <w:gridCol w:w="813"/>
      </w:tblGrid>
      <w:tr w:rsidR="0092134D" w:rsidRPr="00341B5E" w:rsidTr="00D9621B">
        <w:trPr>
          <w:trHeight w:val="300"/>
        </w:trPr>
        <w:tc>
          <w:tcPr>
            <w:tcW w:w="305"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Wingdings" w:eastAsia="Times New Roman" w:hAnsi="Wingdings" w:cs="Times New Roman"/>
                <w:color w:val="2DB9FF"/>
                <w:szCs w:val="22"/>
                <w:lang w:eastAsia="cs-CZ"/>
              </w:rPr>
            </w:pPr>
            <w:r w:rsidRPr="00341B5E">
              <w:rPr>
                <w:rFonts w:ascii="Wingdings" w:eastAsia="Times New Roman" w:hAnsi="Wingdings" w:cs="Times New Roman"/>
                <w:color w:val="2DB9FF"/>
                <w:szCs w:val="22"/>
                <w:lang w:eastAsia="cs-CZ"/>
              </w:rPr>
              <w:t></w:t>
            </w:r>
          </w:p>
        </w:tc>
        <w:tc>
          <w:tcPr>
            <w:tcW w:w="4530" w:type="dxa"/>
            <w:tcBorders>
              <w:top w:val="single" w:sz="4" w:space="0" w:color="2DB9FF"/>
              <w:left w:val="nil"/>
              <w:bottom w:val="single" w:sz="4" w:space="0" w:color="D5F1FF"/>
              <w:right w:val="nil"/>
            </w:tcBorders>
            <w:shd w:val="clear" w:color="auto" w:fill="auto"/>
            <w:noWrap/>
            <w:vAlign w:val="center"/>
            <w:hideMark/>
          </w:tcPr>
          <w:p w:rsidR="0092134D" w:rsidRPr="00341B5E" w:rsidRDefault="0092134D" w:rsidP="006D6C71">
            <w:pPr>
              <w:spacing w:before="0" w:after="0" w:line="240" w:lineRule="auto"/>
              <w:jc w:val="left"/>
              <w:rPr>
                <w:rFonts w:ascii="Calibri" w:eastAsia="Times New Roman" w:hAnsi="Calibri" w:cs="Times New Roman"/>
                <w:b/>
                <w:bCs/>
                <w:sz w:val="20"/>
                <w:lang w:eastAsia="cs-CZ"/>
              </w:rPr>
            </w:pPr>
            <w:r w:rsidRPr="00341B5E">
              <w:rPr>
                <w:rFonts w:ascii="Calibri" w:eastAsia="Times New Roman" w:hAnsi="Calibri" w:cs="Times New Roman"/>
                <w:b/>
                <w:bCs/>
                <w:sz w:val="20"/>
                <w:lang w:eastAsia="cs-CZ"/>
              </w:rPr>
              <w:t xml:space="preserve">Komodity pro centrální nákup </w:t>
            </w:r>
            <w:r w:rsidR="006D6C71">
              <w:rPr>
                <w:rFonts w:ascii="Calibri" w:eastAsia="Times New Roman" w:hAnsi="Calibri" w:cs="Times New Roman"/>
                <w:b/>
                <w:bCs/>
                <w:sz w:val="20"/>
                <w:lang w:eastAsia="cs-CZ"/>
              </w:rPr>
              <w:t>–</w:t>
            </w:r>
            <w:r w:rsidRPr="00341B5E">
              <w:rPr>
                <w:rFonts w:ascii="Calibri" w:eastAsia="Times New Roman" w:hAnsi="Calibri" w:cs="Times New Roman"/>
                <w:b/>
                <w:bCs/>
                <w:sz w:val="20"/>
                <w:lang w:eastAsia="cs-CZ"/>
              </w:rPr>
              <w:t xml:space="preserve"> </w:t>
            </w:r>
            <w:r w:rsidR="006D6C71">
              <w:rPr>
                <w:rFonts w:ascii="Calibri" w:eastAsia="Times New Roman" w:hAnsi="Calibri" w:cs="Times New Roman"/>
                <w:b/>
                <w:bCs/>
                <w:sz w:val="20"/>
                <w:lang w:eastAsia="cs-CZ"/>
              </w:rPr>
              <w:t>užší pojetí</w:t>
            </w:r>
            <w:r w:rsidR="00DA2AFA">
              <w:rPr>
                <w:rStyle w:val="Znakapoznpodarou"/>
                <w:rFonts w:ascii="Calibri" w:eastAsia="Times New Roman" w:hAnsi="Calibri" w:cs="Times New Roman"/>
                <w:b/>
                <w:bCs/>
                <w:lang w:eastAsia="cs-CZ"/>
              </w:rPr>
              <w:footnoteReference w:id="3"/>
            </w:r>
          </w:p>
        </w:tc>
        <w:tc>
          <w:tcPr>
            <w:tcW w:w="1172" w:type="dxa"/>
            <w:tcBorders>
              <w:top w:val="single" w:sz="4" w:space="0" w:color="2DB9FF"/>
              <w:left w:val="nil"/>
              <w:bottom w:val="single" w:sz="4" w:space="0" w:color="D5F1FF"/>
              <w:right w:val="nil"/>
            </w:tcBorders>
            <w:shd w:val="clear" w:color="auto" w:fill="auto"/>
            <w:noWrap/>
            <w:vAlign w:val="center"/>
            <w:hideMark/>
          </w:tcPr>
          <w:p w:rsidR="0092134D" w:rsidRPr="00341B5E" w:rsidRDefault="0092134D" w:rsidP="00D9621B">
            <w:pPr>
              <w:spacing w:before="0" w:after="0" w:line="240" w:lineRule="auto"/>
              <w:jc w:val="right"/>
              <w:rPr>
                <w:rFonts w:ascii="Calibri" w:eastAsia="Times New Roman" w:hAnsi="Calibri" w:cs="Times New Roman"/>
                <w:sz w:val="20"/>
                <w:lang w:eastAsia="cs-CZ"/>
              </w:rPr>
            </w:pPr>
            <w:r w:rsidRPr="00341B5E">
              <w:rPr>
                <w:rFonts w:ascii="Calibri" w:eastAsia="Times New Roman" w:hAnsi="Calibri" w:cs="Times New Roman"/>
                <w:sz w:val="20"/>
                <w:lang w:eastAsia="cs-CZ"/>
              </w:rPr>
              <w:t>4 102 mil. Kč</w:t>
            </w:r>
          </w:p>
        </w:tc>
        <w:tc>
          <w:tcPr>
            <w:tcW w:w="813" w:type="dxa"/>
            <w:tcBorders>
              <w:top w:val="single" w:sz="4" w:space="0" w:color="2DB9FF"/>
              <w:left w:val="nil"/>
              <w:bottom w:val="single" w:sz="4" w:space="0" w:color="D5F1FF"/>
              <w:right w:val="nil"/>
            </w:tcBorders>
            <w:shd w:val="clear" w:color="auto" w:fill="auto"/>
            <w:noWrap/>
            <w:vAlign w:val="bottom"/>
            <w:hideMark/>
          </w:tcPr>
          <w:p w:rsidR="0092134D" w:rsidRPr="00341B5E" w:rsidRDefault="001E7E0E" w:rsidP="00D9621B">
            <w:pPr>
              <w:spacing w:before="0" w:after="0" w:line="240" w:lineRule="auto"/>
              <w:jc w:val="right"/>
              <w:rPr>
                <w:rFonts w:ascii="Calibri" w:eastAsia="Times New Roman" w:hAnsi="Calibri" w:cs="Times New Roman"/>
                <w:color w:val="0C0C0C"/>
                <w:szCs w:val="22"/>
                <w:lang w:eastAsia="cs-CZ"/>
              </w:rPr>
            </w:pPr>
            <w:r>
              <w:rPr>
                <w:noProof/>
                <w:lang w:eastAsia="cs-CZ"/>
              </w:rPr>
              <w:drawing>
                <wp:anchor distT="0" distB="0" distL="114300" distR="114300" simplePos="0" relativeHeight="251659264" behindDoc="0" locked="0" layoutInCell="1" allowOverlap="1" wp14:anchorId="08EE59B8" wp14:editId="3AF4A18A">
                  <wp:simplePos x="0" y="0"/>
                  <wp:positionH relativeFrom="column">
                    <wp:posOffset>645795</wp:posOffset>
                  </wp:positionH>
                  <wp:positionV relativeFrom="paragraph">
                    <wp:posOffset>-135890</wp:posOffset>
                  </wp:positionV>
                  <wp:extent cx="1419225" cy="1114425"/>
                  <wp:effectExtent l="0" t="0" r="0" b="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92134D" w:rsidRPr="00341B5E">
              <w:rPr>
                <w:rFonts w:ascii="Calibri" w:eastAsia="Times New Roman" w:hAnsi="Calibri" w:cs="Times New Roman"/>
                <w:color w:val="0C0C0C"/>
                <w:szCs w:val="22"/>
                <w:lang w:eastAsia="cs-CZ"/>
              </w:rPr>
              <w:t>20%</w:t>
            </w:r>
          </w:p>
        </w:tc>
      </w:tr>
      <w:tr w:rsidR="0092134D" w:rsidRPr="00341B5E" w:rsidTr="00D9621B">
        <w:trPr>
          <w:trHeight w:val="300"/>
        </w:trPr>
        <w:tc>
          <w:tcPr>
            <w:tcW w:w="305"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Wingdings" w:eastAsia="Times New Roman" w:hAnsi="Wingdings" w:cs="Times New Roman"/>
                <w:color w:val="80D6FF"/>
                <w:szCs w:val="22"/>
                <w:lang w:eastAsia="cs-CZ"/>
              </w:rPr>
            </w:pPr>
            <w:r w:rsidRPr="00341B5E">
              <w:rPr>
                <w:rFonts w:ascii="Wingdings" w:eastAsia="Times New Roman" w:hAnsi="Wingdings" w:cs="Times New Roman"/>
                <w:color w:val="80D6FF"/>
                <w:szCs w:val="22"/>
                <w:lang w:eastAsia="cs-CZ"/>
              </w:rPr>
              <w:t></w:t>
            </w:r>
          </w:p>
        </w:tc>
        <w:tc>
          <w:tcPr>
            <w:tcW w:w="4530" w:type="dxa"/>
            <w:tcBorders>
              <w:top w:val="nil"/>
              <w:left w:val="nil"/>
              <w:bottom w:val="single" w:sz="4" w:space="0" w:color="D5F1FF"/>
              <w:right w:val="nil"/>
            </w:tcBorders>
            <w:shd w:val="clear" w:color="auto" w:fill="auto"/>
            <w:noWrap/>
            <w:vAlign w:val="center"/>
            <w:hideMark/>
          </w:tcPr>
          <w:p w:rsidR="0092134D" w:rsidRPr="00341B5E" w:rsidRDefault="0092134D" w:rsidP="006D6C71">
            <w:pPr>
              <w:spacing w:before="0" w:after="0" w:line="240" w:lineRule="auto"/>
              <w:jc w:val="left"/>
              <w:rPr>
                <w:rFonts w:ascii="Calibri" w:eastAsia="Times New Roman" w:hAnsi="Calibri" w:cs="Times New Roman"/>
                <w:b/>
                <w:bCs/>
                <w:sz w:val="20"/>
                <w:lang w:eastAsia="cs-CZ"/>
              </w:rPr>
            </w:pPr>
            <w:r>
              <w:rPr>
                <w:rFonts w:ascii="Calibri" w:eastAsia="Times New Roman" w:hAnsi="Calibri" w:cs="Times New Roman"/>
                <w:b/>
                <w:bCs/>
                <w:sz w:val="20"/>
                <w:lang w:eastAsia="cs-CZ"/>
              </w:rPr>
              <w:t>Další</w:t>
            </w:r>
            <w:r w:rsidRPr="00341B5E">
              <w:rPr>
                <w:rFonts w:ascii="Calibri" w:eastAsia="Times New Roman" w:hAnsi="Calibri" w:cs="Times New Roman"/>
                <w:b/>
                <w:bCs/>
                <w:sz w:val="20"/>
                <w:lang w:eastAsia="cs-CZ"/>
              </w:rPr>
              <w:t xml:space="preserve"> komodity </w:t>
            </w:r>
            <w:r>
              <w:rPr>
                <w:rFonts w:ascii="Calibri" w:eastAsia="Times New Roman" w:hAnsi="Calibri" w:cs="Times New Roman"/>
                <w:b/>
                <w:bCs/>
                <w:sz w:val="20"/>
                <w:lang w:eastAsia="cs-CZ"/>
              </w:rPr>
              <w:t xml:space="preserve">pro centrální nákup </w:t>
            </w:r>
            <w:r w:rsidR="006D6C71">
              <w:rPr>
                <w:rFonts w:ascii="Calibri" w:eastAsia="Times New Roman" w:hAnsi="Calibri" w:cs="Times New Roman"/>
                <w:b/>
                <w:bCs/>
                <w:sz w:val="20"/>
                <w:lang w:eastAsia="cs-CZ"/>
              </w:rPr>
              <w:t>–</w:t>
            </w:r>
            <w:r>
              <w:rPr>
                <w:rFonts w:ascii="Calibri" w:eastAsia="Times New Roman" w:hAnsi="Calibri" w:cs="Times New Roman"/>
                <w:b/>
                <w:bCs/>
                <w:sz w:val="20"/>
                <w:lang w:eastAsia="cs-CZ"/>
              </w:rPr>
              <w:t xml:space="preserve"> </w:t>
            </w:r>
            <w:r w:rsidR="006D6C71">
              <w:rPr>
                <w:rFonts w:ascii="Calibri" w:eastAsia="Times New Roman" w:hAnsi="Calibri" w:cs="Times New Roman"/>
                <w:b/>
                <w:bCs/>
                <w:sz w:val="20"/>
                <w:lang w:eastAsia="cs-CZ"/>
              </w:rPr>
              <w:t>širší pojetí</w:t>
            </w:r>
            <w:r w:rsidR="00DA2AFA">
              <w:rPr>
                <w:rStyle w:val="Znakapoznpodarou"/>
                <w:rFonts w:ascii="Calibri" w:eastAsia="Times New Roman" w:hAnsi="Calibri" w:cs="Times New Roman"/>
                <w:b/>
                <w:bCs/>
                <w:lang w:eastAsia="cs-CZ"/>
              </w:rPr>
              <w:footnoteReference w:id="4"/>
            </w:r>
          </w:p>
        </w:tc>
        <w:tc>
          <w:tcPr>
            <w:tcW w:w="1172" w:type="dxa"/>
            <w:tcBorders>
              <w:top w:val="nil"/>
              <w:left w:val="nil"/>
              <w:bottom w:val="single" w:sz="4" w:space="0" w:color="D5F1FF"/>
              <w:right w:val="nil"/>
            </w:tcBorders>
            <w:shd w:val="clear" w:color="auto" w:fill="auto"/>
            <w:noWrap/>
            <w:vAlign w:val="center"/>
            <w:hideMark/>
          </w:tcPr>
          <w:p w:rsidR="0092134D" w:rsidRPr="00341B5E" w:rsidRDefault="0092134D" w:rsidP="00D9621B">
            <w:pPr>
              <w:spacing w:before="0" w:after="0" w:line="240" w:lineRule="auto"/>
              <w:jc w:val="right"/>
              <w:rPr>
                <w:rFonts w:ascii="Calibri" w:eastAsia="Times New Roman" w:hAnsi="Calibri" w:cs="Times New Roman"/>
                <w:sz w:val="20"/>
                <w:lang w:eastAsia="cs-CZ"/>
              </w:rPr>
            </w:pPr>
            <w:r w:rsidRPr="00341B5E">
              <w:rPr>
                <w:rFonts w:ascii="Calibri" w:eastAsia="Times New Roman" w:hAnsi="Calibri" w:cs="Times New Roman"/>
                <w:sz w:val="20"/>
                <w:lang w:eastAsia="cs-CZ"/>
              </w:rPr>
              <w:t>1 854 mil. Kč</w:t>
            </w:r>
          </w:p>
        </w:tc>
        <w:tc>
          <w:tcPr>
            <w:tcW w:w="813" w:type="dxa"/>
            <w:tcBorders>
              <w:top w:val="nil"/>
              <w:left w:val="nil"/>
              <w:bottom w:val="single" w:sz="4" w:space="0" w:color="D5F1FF"/>
              <w:right w:val="nil"/>
            </w:tcBorders>
            <w:shd w:val="clear" w:color="auto" w:fill="auto"/>
            <w:noWrap/>
            <w:vAlign w:val="bottom"/>
            <w:hideMark/>
          </w:tcPr>
          <w:p w:rsidR="0092134D" w:rsidRPr="00341B5E" w:rsidRDefault="0092134D" w:rsidP="00D9621B">
            <w:pPr>
              <w:spacing w:before="0" w:after="0" w:line="240" w:lineRule="auto"/>
              <w:jc w:val="right"/>
              <w:rPr>
                <w:rFonts w:ascii="Calibri" w:eastAsia="Times New Roman" w:hAnsi="Calibri" w:cs="Times New Roman"/>
                <w:color w:val="0C0C0C"/>
                <w:szCs w:val="22"/>
                <w:lang w:eastAsia="cs-CZ"/>
              </w:rPr>
            </w:pPr>
            <w:r w:rsidRPr="00341B5E">
              <w:rPr>
                <w:rFonts w:ascii="Calibri" w:eastAsia="Times New Roman" w:hAnsi="Calibri" w:cs="Times New Roman"/>
                <w:color w:val="0C0C0C"/>
                <w:szCs w:val="22"/>
                <w:lang w:eastAsia="cs-CZ"/>
              </w:rPr>
              <w:t>9%</w:t>
            </w:r>
          </w:p>
        </w:tc>
      </w:tr>
      <w:tr w:rsidR="0092134D" w:rsidRPr="00341B5E" w:rsidTr="00D9621B">
        <w:trPr>
          <w:trHeight w:val="300"/>
        </w:trPr>
        <w:tc>
          <w:tcPr>
            <w:tcW w:w="305"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Wingdings" w:eastAsia="Times New Roman" w:hAnsi="Wingdings" w:cs="Times New Roman"/>
                <w:color w:val="A6A6A6"/>
                <w:szCs w:val="22"/>
                <w:lang w:eastAsia="cs-CZ"/>
              </w:rPr>
            </w:pPr>
            <w:r w:rsidRPr="00341B5E">
              <w:rPr>
                <w:rFonts w:ascii="Wingdings" w:eastAsia="Times New Roman" w:hAnsi="Wingdings" w:cs="Times New Roman"/>
                <w:color w:val="A6A6A6"/>
                <w:szCs w:val="22"/>
                <w:lang w:eastAsia="cs-CZ"/>
              </w:rPr>
              <w:t></w:t>
            </w:r>
          </w:p>
        </w:tc>
        <w:tc>
          <w:tcPr>
            <w:tcW w:w="4530" w:type="dxa"/>
            <w:tcBorders>
              <w:top w:val="nil"/>
              <w:left w:val="nil"/>
              <w:bottom w:val="single" w:sz="4" w:space="0" w:color="D5F1FF"/>
              <w:right w:val="nil"/>
            </w:tcBorders>
            <w:shd w:val="clear" w:color="auto" w:fill="auto"/>
            <w:noWrap/>
            <w:vAlign w:val="center"/>
            <w:hideMark/>
          </w:tcPr>
          <w:p w:rsidR="0092134D" w:rsidRPr="00341B5E" w:rsidRDefault="0092134D" w:rsidP="00D9621B">
            <w:pPr>
              <w:spacing w:before="0" w:after="0" w:line="240" w:lineRule="auto"/>
              <w:jc w:val="left"/>
              <w:rPr>
                <w:rFonts w:ascii="Calibri" w:eastAsia="Times New Roman" w:hAnsi="Calibri" w:cs="Times New Roman"/>
                <w:b/>
                <w:bCs/>
                <w:sz w:val="20"/>
                <w:lang w:eastAsia="cs-CZ"/>
              </w:rPr>
            </w:pPr>
            <w:r w:rsidRPr="00341B5E">
              <w:rPr>
                <w:rFonts w:ascii="Calibri" w:eastAsia="Times New Roman" w:hAnsi="Calibri" w:cs="Times New Roman"/>
                <w:b/>
                <w:bCs/>
                <w:sz w:val="20"/>
                <w:lang w:eastAsia="cs-CZ"/>
              </w:rPr>
              <w:t>Stavby</w:t>
            </w:r>
          </w:p>
        </w:tc>
        <w:tc>
          <w:tcPr>
            <w:tcW w:w="1172" w:type="dxa"/>
            <w:tcBorders>
              <w:top w:val="nil"/>
              <w:left w:val="nil"/>
              <w:bottom w:val="single" w:sz="4" w:space="0" w:color="D5F1FF"/>
              <w:right w:val="nil"/>
            </w:tcBorders>
            <w:shd w:val="clear" w:color="auto" w:fill="auto"/>
            <w:noWrap/>
            <w:vAlign w:val="center"/>
            <w:hideMark/>
          </w:tcPr>
          <w:p w:rsidR="0092134D" w:rsidRPr="00341B5E" w:rsidRDefault="0092134D" w:rsidP="00D9621B">
            <w:pPr>
              <w:spacing w:before="0" w:after="0" w:line="240" w:lineRule="auto"/>
              <w:jc w:val="right"/>
              <w:rPr>
                <w:rFonts w:ascii="Calibri" w:eastAsia="Times New Roman" w:hAnsi="Calibri" w:cs="Times New Roman"/>
                <w:sz w:val="20"/>
                <w:lang w:eastAsia="cs-CZ"/>
              </w:rPr>
            </w:pPr>
            <w:r w:rsidRPr="00341B5E">
              <w:rPr>
                <w:rFonts w:ascii="Calibri" w:eastAsia="Times New Roman" w:hAnsi="Calibri" w:cs="Times New Roman"/>
                <w:sz w:val="20"/>
                <w:lang w:eastAsia="cs-CZ"/>
              </w:rPr>
              <w:t>5 740 mil. Kč</w:t>
            </w:r>
          </w:p>
        </w:tc>
        <w:tc>
          <w:tcPr>
            <w:tcW w:w="813" w:type="dxa"/>
            <w:tcBorders>
              <w:top w:val="nil"/>
              <w:left w:val="nil"/>
              <w:bottom w:val="single" w:sz="4" w:space="0" w:color="D5F1FF"/>
              <w:right w:val="nil"/>
            </w:tcBorders>
            <w:shd w:val="clear" w:color="auto" w:fill="auto"/>
            <w:noWrap/>
            <w:vAlign w:val="bottom"/>
            <w:hideMark/>
          </w:tcPr>
          <w:p w:rsidR="0092134D" w:rsidRPr="00341B5E" w:rsidRDefault="0092134D" w:rsidP="00D9621B">
            <w:pPr>
              <w:spacing w:before="0" w:after="0" w:line="240" w:lineRule="auto"/>
              <w:jc w:val="right"/>
              <w:rPr>
                <w:rFonts w:ascii="Calibri" w:eastAsia="Times New Roman" w:hAnsi="Calibri" w:cs="Times New Roman"/>
                <w:color w:val="0C0C0C"/>
                <w:szCs w:val="22"/>
                <w:lang w:eastAsia="cs-CZ"/>
              </w:rPr>
            </w:pPr>
            <w:r w:rsidRPr="00341B5E">
              <w:rPr>
                <w:rFonts w:ascii="Calibri" w:eastAsia="Times New Roman" w:hAnsi="Calibri" w:cs="Times New Roman"/>
                <w:color w:val="0C0C0C"/>
                <w:szCs w:val="22"/>
                <w:lang w:eastAsia="cs-CZ"/>
              </w:rPr>
              <w:t>28%</w:t>
            </w:r>
          </w:p>
        </w:tc>
      </w:tr>
      <w:tr w:rsidR="0092134D" w:rsidRPr="00341B5E" w:rsidTr="00D9621B">
        <w:trPr>
          <w:trHeight w:val="300"/>
        </w:trPr>
        <w:tc>
          <w:tcPr>
            <w:tcW w:w="305"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Wingdings" w:eastAsia="Times New Roman" w:hAnsi="Wingdings" w:cs="Times New Roman"/>
                <w:color w:val="BFBFBF"/>
                <w:szCs w:val="22"/>
                <w:lang w:eastAsia="cs-CZ"/>
              </w:rPr>
            </w:pPr>
            <w:r w:rsidRPr="00341B5E">
              <w:rPr>
                <w:rFonts w:ascii="Wingdings" w:eastAsia="Times New Roman" w:hAnsi="Wingdings" w:cs="Times New Roman"/>
                <w:color w:val="BFBFBF"/>
                <w:szCs w:val="22"/>
                <w:lang w:eastAsia="cs-CZ"/>
              </w:rPr>
              <w:t></w:t>
            </w:r>
          </w:p>
        </w:tc>
        <w:tc>
          <w:tcPr>
            <w:tcW w:w="4530"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left"/>
              <w:rPr>
                <w:rFonts w:ascii="Calibri" w:eastAsia="Times New Roman" w:hAnsi="Calibri" w:cs="Times New Roman"/>
                <w:b/>
                <w:bCs/>
                <w:sz w:val="20"/>
                <w:lang w:eastAsia="cs-CZ"/>
              </w:rPr>
            </w:pPr>
            <w:r w:rsidRPr="00341B5E">
              <w:rPr>
                <w:rFonts w:ascii="Calibri" w:eastAsia="Times New Roman" w:hAnsi="Calibri" w:cs="Times New Roman"/>
                <w:b/>
                <w:bCs/>
                <w:sz w:val="20"/>
                <w:lang w:eastAsia="cs-CZ"/>
              </w:rPr>
              <w:t>Dodávky informačních systémů</w:t>
            </w:r>
          </w:p>
        </w:tc>
        <w:tc>
          <w:tcPr>
            <w:tcW w:w="1172"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Calibri" w:eastAsia="Times New Roman" w:hAnsi="Calibri" w:cs="Times New Roman"/>
                <w:sz w:val="20"/>
                <w:lang w:eastAsia="cs-CZ"/>
              </w:rPr>
            </w:pPr>
            <w:r w:rsidRPr="00341B5E">
              <w:rPr>
                <w:rFonts w:ascii="Calibri" w:eastAsia="Times New Roman" w:hAnsi="Calibri" w:cs="Times New Roman"/>
                <w:sz w:val="20"/>
                <w:lang w:eastAsia="cs-CZ"/>
              </w:rPr>
              <w:t>2 079 mil. Kč</w:t>
            </w:r>
          </w:p>
        </w:tc>
        <w:tc>
          <w:tcPr>
            <w:tcW w:w="813" w:type="dxa"/>
            <w:tcBorders>
              <w:top w:val="nil"/>
              <w:left w:val="nil"/>
              <w:bottom w:val="nil"/>
              <w:right w:val="nil"/>
            </w:tcBorders>
            <w:shd w:val="clear" w:color="auto" w:fill="auto"/>
            <w:noWrap/>
            <w:vAlign w:val="bottom"/>
            <w:hideMark/>
          </w:tcPr>
          <w:p w:rsidR="0092134D" w:rsidRPr="00341B5E" w:rsidRDefault="0092134D" w:rsidP="00D9621B">
            <w:pPr>
              <w:spacing w:before="0" w:after="0" w:line="240" w:lineRule="auto"/>
              <w:jc w:val="right"/>
              <w:rPr>
                <w:rFonts w:ascii="Calibri" w:eastAsia="Times New Roman" w:hAnsi="Calibri" w:cs="Times New Roman"/>
                <w:color w:val="0C0C0C"/>
                <w:szCs w:val="22"/>
                <w:lang w:eastAsia="cs-CZ"/>
              </w:rPr>
            </w:pPr>
            <w:r w:rsidRPr="00341B5E">
              <w:rPr>
                <w:rFonts w:ascii="Calibri" w:eastAsia="Times New Roman" w:hAnsi="Calibri" w:cs="Times New Roman"/>
                <w:color w:val="0C0C0C"/>
                <w:szCs w:val="22"/>
                <w:lang w:eastAsia="cs-CZ"/>
              </w:rPr>
              <w:t>10%</w:t>
            </w:r>
          </w:p>
        </w:tc>
      </w:tr>
      <w:tr w:rsidR="0092134D" w:rsidRPr="00341B5E" w:rsidTr="00D9621B">
        <w:trPr>
          <w:trHeight w:val="300"/>
        </w:trPr>
        <w:tc>
          <w:tcPr>
            <w:tcW w:w="305" w:type="dxa"/>
            <w:tcBorders>
              <w:top w:val="nil"/>
              <w:left w:val="nil"/>
              <w:bottom w:val="nil"/>
              <w:right w:val="nil"/>
            </w:tcBorders>
            <w:shd w:val="clear" w:color="auto" w:fill="auto"/>
            <w:noWrap/>
            <w:vAlign w:val="center"/>
            <w:hideMark/>
          </w:tcPr>
          <w:p w:rsidR="0092134D" w:rsidRPr="00341B5E" w:rsidRDefault="0092134D" w:rsidP="00D9621B">
            <w:pPr>
              <w:spacing w:before="0" w:after="0" w:line="240" w:lineRule="auto"/>
              <w:jc w:val="right"/>
              <w:rPr>
                <w:rFonts w:ascii="Wingdings" w:eastAsia="Times New Roman" w:hAnsi="Wingdings" w:cs="Times New Roman"/>
                <w:color w:val="D9D9D9"/>
                <w:szCs w:val="22"/>
                <w:lang w:eastAsia="cs-CZ"/>
              </w:rPr>
            </w:pPr>
            <w:r w:rsidRPr="00341B5E">
              <w:rPr>
                <w:rFonts w:ascii="Wingdings" w:eastAsia="Times New Roman" w:hAnsi="Wingdings" w:cs="Times New Roman"/>
                <w:color w:val="D9D9D9"/>
                <w:szCs w:val="22"/>
                <w:lang w:eastAsia="cs-CZ"/>
              </w:rPr>
              <w:t></w:t>
            </w:r>
          </w:p>
        </w:tc>
        <w:tc>
          <w:tcPr>
            <w:tcW w:w="4530" w:type="dxa"/>
            <w:tcBorders>
              <w:top w:val="single" w:sz="4" w:space="0" w:color="D5F1FF"/>
              <w:left w:val="nil"/>
              <w:bottom w:val="single" w:sz="4" w:space="0" w:color="2DB9FF"/>
              <w:right w:val="nil"/>
            </w:tcBorders>
            <w:shd w:val="clear" w:color="auto" w:fill="auto"/>
            <w:noWrap/>
            <w:vAlign w:val="center"/>
            <w:hideMark/>
          </w:tcPr>
          <w:p w:rsidR="0092134D" w:rsidRPr="00341B5E" w:rsidRDefault="0092134D" w:rsidP="00D9621B">
            <w:pPr>
              <w:spacing w:before="0" w:after="0" w:line="240" w:lineRule="auto"/>
              <w:jc w:val="left"/>
              <w:rPr>
                <w:rFonts w:ascii="Calibri" w:eastAsia="Times New Roman" w:hAnsi="Calibri" w:cs="Times New Roman"/>
                <w:b/>
                <w:bCs/>
                <w:sz w:val="20"/>
                <w:lang w:eastAsia="cs-CZ"/>
              </w:rPr>
            </w:pPr>
            <w:r w:rsidRPr="00341B5E">
              <w:rPr>
                <w:rFonts w:ascii="Calibri" w:eastAsia="Times New Roman" w:hAnsi="Calibri" w:cs="Times New Roman"/>
                <w:b/>
                <w:bCs/>
                <w:sz w:val="20"/>
                <w:lang w:eastAsia="cs-CZ"/>
              </w:rPr>
              <w:t>Ostatní komodity</w:t>
            </w:r>
          </w:p>
        </w:tc>
        <w:tc>
          <w:tcPr>
            <w:tcW w:w="1172" w:type="dxa"/>
            <w:tcBorders>
              <w:top w:val="single" w:sz="4" w:space="0" w:color="D5F1FF"/>
              <w:left w:val="nil"/>
              <w:bottom w:val="single" w:sz="4" w:space="0" w:color="2DB9FF"/>
              <w:right w:val="nil"/>
            </w:tcBorders>
            <w:shd w:val="clear" w:color="auto" w:fill="auto"/>
            <w:noWrap/>
            <w:vAlign w:val="center"/>
            <w:hideMark/>
          </w:tcPr>
          <w:p w:rsidR="0092134D" w:rsidRPr="00341B5E" w:rsidRDefault="0092134D" w:rsidP="00D9621B">
            <w:pPr>
              <w:spacing w:before="0" w:after="0" w:line="240" w:lineRule="auto"/>
              <w:jc w:val="right"/>
              <w:rPr>
                <w:rFonts w:ascii="Calibri" w:eastAsia="Times New Roman" w:hAnsi="Calibri" w:cs="Times New Roman"/>
                <w:sz w:val="20"/>
                <w:lang w:eastAsia="cs-CZ"/>
              </w:rPr>
            </w:pPr>
            <w:r w:rsidRPr="00341B5E">
              <w:rPr>
                <w:rFonts w:ascii="Calibri" w:eastAsia="Times New Roman" w:hAnsi="Calibri" w:cs="Times New Roman"/>
                <w:sz w:val="20"/>
                <w:lang w:eastAsia="cs-CZ"/>
              </w:rPr>
              <w:t>6 904 mil. Kč</w:t>
            </w:r>
          </w:p>
        </w:tc>
        <w:tc>
          <w:tcPr>
            <w:tcW w:w="813" w:type="dxa"/>
            <w:tcBorders>
              <w:top w:val="single" w:sz="4" w:space="0" w:color="D5F1FF"/>
              <w:left w:val="nil"/>
              <w:bottom w:val="single" w:sz="4" w:space="0" w:color="2DB9FF"/>
              <w:right w:val="nil"/>
            </w:tcBorders>
            <w:shd w:val="clear" w:color="auto" w:fill="auto"/>
            <w:noWrap/>
            <w:vAlign w:val="bottom"/>
            <w:hideMark/>
          </w:tcPr>
          <w:p w:rsidR="0092134D" w:rsidRPr="00341B5E" w:rsidRDefault="0092134D" w:rsidP="00D9621B">
            <w:pPr>
              <w:spacing w:before="0" w:after="0" w:line="240" w:lineRule="auto"/>
              <w:jc w:val="right"/>
              <w:rPr>
                <w:rFonts w:ascii="Calibri" w:eastAsia="Times New Roman" w:hAnsi="Calibri" w:cs="Times New Roman"/>
                <w:color w:val="0C0C0C"/>
                <w:szCs w:val="22"/>
                <w:lang w:eastAsia="cs-CZ"/>
              </w:rPr>
            </w:pPr>
            <w:r w:rsidRPr="00341B5E">
              <w:rPr>
                <w:rFonts w:ascii="Calibri" w:eastAsia="Times New Roman" w:hAnsi="Calibri" w:cs="Times New Roman"/>
                <w:color w:val="0C0C0C"/>
                <w:szCs w:val="22"/>
                <w:lang w:eastAsia="cs-CZ"/>
              </w:rPr>
              <w:t>33%</w:t>
            </w:r>
          </w:p>
        </w:tc>
      </w:tr>
    </w:tbl>
    <w:p w:rsidR="0092134D" w:rsidRDefault="0092134D" w:rsidP="0092134D">
      <w:pPr>
        <w:pStyle w:val="Titulek"/>
        <w:jc w:val="left"/>
      </w:pPr>
      <w:r>
        <w:t xml:space="preserve">Tabulka </w:t>
      </w:r>
      <w:r w:rsidR="002E0428">
        <w:fldChar w:fldCharType="begin"/>
      </w:r>
      <w:r w:rsidR="002E0428">
        <w:instrText xml:space="preserve"> SEQ Tabulka \* ARABIC </w:instrText>
      </w:r>
      <w:r w:rsidR="002E0428">
        <w:fldChar w:fldCharType="separate"/>
      </w:r>
      <w:r w:rsidR="002E0428">
        <w:rPr>
          <w:noProof/>
        </w:rPr>
        <w:t>1</w:t>
      </w:r>
      <w:r w:rsidR="002E0428">
        <w:rPr>
          <w:noProof/>
        </w:rPr>
        <w:fldChar w:fldCharType="end"/>
      </w:r>
      <w:r>
        <w:t xml:space="preserve"> - Struktura výdajů resortů</w:t>
      </w:r>
      <w:r w:rsidR="00C6057A">
        <w:t xml:space="preserve"> (vzorek 6 resortů)</w:t>
      </w:r>
    </w:p>
    <w:p w:rsidR="0092134D" w:rsidRPr="002B0C19" w:rsidRDefault="0092134D" w:rsidP="0092134D">
      <w:pPr>
        <w:rPr>
          <w:b/>
          <w:noProof/>
          <w:lang w:eastAsia="cs-CZ"/>
        </w:rPr>
      </w:pPr>
      <w:r w:rsidRPr="002B0C19">
        <w:rPr>
          <w:b/>
          <w:noProof/>
          <w:lang w:eastAsia="cs-CZ"/>
        </w:rPr>
        <w:t xml:space="preserve">Komoditní kategorie, které lze na základě jejich poměrně snadné standardizovatelnosti a zkušeností ze zahraničí považovat za vhodné pro centrální nákup, se na celkových nákupních výdajích podílejí </w:t>
      </w:r>
      <w:r>
        <w:rPr>
          <w:b/>
          <w:noProof/>
          <w:lang w:eastAsia="cs-CZ"/>
        </w:rPr>
        <w:t>20</w:t>
      </w:r>
      <w:r w:rsidRPr="002B0C19">
        <w:rPr>
          <w:b/>
          <w:noProof/>
          <w:lang w:eastAsia="cs-CZ"/>
        </w:rPr>
        <w:t xml:space="preserve"> %</w:t>
      </w:r>
      <w:r>
        <w:rPr>
          <w:b/>
          <w:noProof/>
          <w:lang w:eastAsia="cs-CZ"/>
        </w:rPr>
        <w:t xml:space="preserve"> (</w:t>
      </w:r>
      <w:r w:rsidR="006B62C3">
        <w:rPr>
          <w:b/>
          <w:noProof/>
          <w:lang w:eastAsia="cs-CZ"/>
        </w:rPr>
        <w:t>užší pojetí</w:t>
      </w:r>
      <w:r>
        <w:rPr>
          <w:b/>
          <w:noProof/>
          <w:lang w:eastAsia="cs-CZ"/>
        </w:rPr>
        <w:t>), resp. 29 % (</w:t>
      </w:r>
      <w:r w:rsidR="006B62C3">
        <w:rPr>
          <w:b/>
          <w:noProof/>
          <w:lang w:eastAsia="cs-CZ"/>
        </w:rPr>
        <w:t>širší pojetí</w:t>
      </w:r>
      <w:r>
        <w:rPr>
          <w:b/>
          <w:noProof/>
          <w:lang w:eastAsia="cs-CZ"/>
        </w:rPr>
        <w:t>)</w:t>
      </w:r>
      <w:r w:rsidRPr="002B0C19">
        <w:rPr>
          <w:b/>
          <w:noProof/>
          <w:lang w:eastAsia="cs-CZ"/>
        </w:rPr>
        <w:t>.</w:t>
      </w:r>
    </w:p>
    <w:p w:rsidR="0092134D" w:rsidRDefault="0092134D" w:rsidP="0092134D">
      <w:pPr>
        <w:spacing w:after="240"/>
        <w:jc w:val="left"/>
        <w:rPr>
          <w:lang w:eastAsia="cs-CZ"/>
        </w:rPr>
      </w:pPr>
      <w:r>
        <w:rPr>
          <w:lang w:eastAsia="cs-CZ"/>
        </w:rPr>
        <w:t xml:space="preserve">Při bližším členění této skupiny komodit tvoří největší podíl na finančním objemu </w:t>
      </w:r>
      <w:r w:rsidR="00C304C1">
        <w:rPr>
          <w:lang w:eastAsia="cs-CZ"/>
        </w:rPr>
        <w:t xml:space="preserve">komodit vhodných pro centrální nákup </w:t>
      </w:r>
      <w:r>
        <w:rPr>
          <w:lang w:eastAsia="cs-CZ"/>
        </w:rPr>
        <w:t>energie a správa budov (34 %), právní, poradenské a marketingové služby (</w:t>
      </w:r>
      <w:r w:rsidR="00F96B79">
        <w:rPr>
          <w:lang w:eastAsia="cs-CZ"/>
        </w:rPr>
        <w:t xml:space="preserve">30 </w:t>
      </w:r>
      <w:r>
        <w:rPr>
          <w:lang w:eastAsia="cs-CZ"/>
        </w:rPr>
        <w:t>%), doprava a ubytování (11 %) a ICT komodity (9%). Menší část pak tvoří</w:t>
      </w:r>
      <w:r w:rsidRPr="0092134D">
        <w:rPr>
          <w:lang w:eastAsia="cs-CZ"/>
        </w:rPr>
        <w:t xml:space="preserve"> </w:t>
      </w:r>
      <w:r>
        <w:rPr>
          <w:lang w:eastAsia="cs-CZ"/>
        </w:rPr>
        <w:t>nákup a provoz vozového parku a pohonné hmoty, kancelářské potřeby a technika a náklady na školení a vzdělávání.</w:t>
      </w:r>
    </w:p>
    <w:tbl>
      <w:tblPr>
        <w:tblW w:w="6732" w:type="dxa"/>
        <w:tblInd w:w="55" w:type="dxa"/>
        <w:tblCellMar>
          <w:left w:w="70" w:type="dxa"/>
          <w:right w:w="70" w:type="dxa"/>
        </w:tblCellMar>
        <w:tblLook w:val="04A0" w:firstRow="1" w:lastRow="0" w:firstColumn="1" w:lastColumn="0" w:noHBand="0" w:noVBand="1"/>
      </w:tblPr>
      <w:tblGrid>
        <w:gridCol w:w="380"/>
        <w:gridCol w:w="4030"/>
        <w:gridCol w:w="1362"/>
        <w:gridCol w:w="960"/>
      </w:tblGrid>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093D93"/>
                <w:szCs w:val="22"/>
                <w:lang w:eastAsia="cs-CZ"/>
              </w:rPr>
            </w:pPr>
            <w:r w:rsidRPr="001825DF">
              <w:rPr>
                <w:rFonts w:ascii="Wingdings" w:eastAsia="Times New Roman" w:hAnsi="Wingdings" w:cs="Times New Roman"/>
                <w:color w:val="093D93"/>
                <w:szCs w:val="22"/>
                <w:lang w:eastAsia="cs-CZ"/>
              </w:rPr>
              <w:t></w:t>
            </w:r>
          </w:p>
        </w:tc>
        <w:tc>
          <w:tcPr>
            <w:tcW w:w="4030" w:type="dxa"/>
            <w:tcBorders>
              <w:top w:val="single" w:sz="4" w:space="0" w:color="2DB9FF"/>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Energie a správa budov</w:t>
            </w:r>
          </w:p>
        </w:tc>
        <w:tc>
          <w:tcPr>
            <w:tcW w:w="1362" w:type="dxa"/>
            <w:tcBorders>
              <w:top w:val="single" w:sz="4" w:space="0" w:color="2DB9FF"/>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2 022 mil. Kč</w:t>
            </w:r>
          </w:p>
        </w:tc>
        <w:tc>
          <w:tcPr>
            <w:tcW w:w="960" w:type="dxa"/>
            <w:tcBorders>
              <w:top w:val="single" w:sz="4" w:space="0" w:color="2DB9FF"/>
              <w:left w:val="nil"/>
              <w:bottom w:val="single" w:sz="4" w:space="0" w:color="D5F1FF"/>
              <w:right w:val="nil"/>
            </w:tcBorders>
            <w:shd w:val="clear" w:color="auto" w:fill="auto"/>
            <w:noWrap/>
            <w:vAlign w:val="bottom"/>
            <w:hideMark/>
          </w:tcPr>
          <w:p w:rsidR="0092134D" w:rsidRPr="001825DF" w:rsidRDefault="00E36AED" w:rsidP="00D9621B">
            <w:pPr>
              <w:spacing w:before="0" w:after="0" w:line="240" w:lineRule="auto"/>
              <w:jc w:val="right"/>
              <w:rPr>
                <w:rFonts w:ascii="Calibri" w:eastAsia="Times New Roman" w:hAnsi="Calibri" w:cs="Times New Roman"/>
                <w:color w:val="0C0C0C"/>
                <w:szCs w:val="22"/>
                <w:lang w:eastAsia="cs-CZ"/>
              </w:rPr>
            </w:pPr>
            <w:r>
              <w:rPr>
                <w:noProof/>
                <w:lang w:eastAsia="cs-CZ"/>
              </w:rPr>
              <w:drawing>
                <wp:anchor distT="0" distB="0" distL="114300" distR="114300" simplePos="0" relativeHeight="251660288" behindDoc="0" locked="0" layoutInCell="1" allowOverlap="1" wp14:anchorId="55E5FFBA" wp14:editId="73905F2E">
                  <wp:simplePos x="0" y="0"/>
                  <wp:positionH relativeFrom="column">
                    <wp:posOffset>758825</wp:posOffset>
                  </wp:positionH>
                  <wp:positionV relativeFrom="paragraph">
                    <wp:posOffset>-58420</wp:posOffset>
                  </wp:positionV>
                  <wp:extent cx="1638935" cy="1524000"/>
                  <wp:effectExtent l="0" t="0" r="0" b="0"/>
                  <wp:wrapNone/>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92134D" w:rsidRPr="001825DF">
              <w:rPr>
                <w:rFonts w:ascii="Calibri" w:eastAsia="Times New Roman" w:hAnsi="Calibri" w:cs="Times New Roman"/>
                <w:color w:val="0C0C0C"/>
                <w:szCs w:val="22"/>
                <w:lang w:eastAsia="cs-CZ"/>
              </w:rPr>
              <w:t>34%</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2DB9FF"/>
                <w:szCs w:val="22"/>
                <w:lang w:eastAsia="cs-CZ"/>
              </w:rPr>
            </w:pPr>
            <w:r w:rsidRPr="001825DF">
              <w:rPr>
                <w:rFonts w:ascii="Wingdings" w:eastAsia="Times New Roman" w:hAnsi="Wingdings" w:cs="Times New Roman"/>
                <w:color w:val="2DB9FF"/>
                <w:szCs w:val="22"/>
                <w:lang w:eastAsia="cs-CZ"/>
              </w:rPr>
              <w:t></w:t>
            </w:r>
          </w:p>
        </w:tc>
        <w:tc>
          <w:tcPr>
            <w:tcW w:w="4030"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Právní a poradenské služby</w:t>
            </w:r>
          </w:p>
        </w:tc>
        <w:tc>
          <w:tcPr>
            <w:tcW w:w="1362"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1 770 mil. Kč</w:t>
            </w:r>
          </w:p>
        </w:tc>
        <w:tc>
          <w:tcPr>
            <w:tcW w:w="960" w:type="dxa"/>
            <w:tcBorders>
              <w:top w:val="nil"/>
              <w:left w:val="nil"/>
              <w:bottom w:val="single" w:sz="4" w:space="0" w:color="D5F1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30%</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FFF13F"/>
                <w:szCs w:val="22"/>
                <w:lang w:eastAsia="cs-CZ"/>
              </w:rPr>
            </w:pPr>
            <w:r w:rsidRPr="001825DF">
              <w:rPr>
                <w:rFonts w:ascii="Wingdings" w:eastAsia="Times New Roman" w:hAnsi="Wingdings" w:cs="Times New Roman"/>
                <w:color w:val="FFF13F"/>
                <w:szCs w:val="22"/>
                <w:lang w:eastAsia="cs-CZ"/>
              </w:rPr>
              <w:t></w:t>
            </w:r>
          </w:p>
        </w:tc>
        <w:tc>
          <w:tcPr>
            <w:tcW w:w="4030"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Doprava a ubytování</w:t>
            </w:r>
          </w:p>
        </w:tc>
        <w:tc>
          <w:tcPr>
            <w:tcW w:w="1362"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647 mil. Kč</w:t>
            </w:r>
          </w:p>
        </w:tc>
        <w:tc>
          <w:tcPr>
            <w:tcW w:w="960" w:type="dxa"/>
            <w:tcBorders>
              <w:top w:val="nil"/>
              <w:left w:val="nil"/>
              <w:bottom w:val="single" w:sz="4" w:space="0" w:color="D5F1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11%</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FE8F3C"/>
                <w:szCs w:val="22"/>
                <w:lang w:eastAsia="cs-CZ"/>
              </w:rPr>
            </w:pPr>
            <w:r w:rsidRPr="001825DF">
              <w:rPr>
                <w:rFonts w:ascii="Wingdings" w:eastAsia="Times New Roman" w:hAnsi="Wingdings" w:cs="Times New Roman"/>
                <w:color w:val="FE8F3C"/>
                <w:szCs w:val="22"/>
                <w:lang w:eastAsia="cs-CZ"/>
              </w:rPr>
              <w:t></w:t>
            </w:r>
          </w:p>
        </w:tc>
        <w:tc>
          <w:tcPr>
            <w:tcW w:w="4030"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ICT komodity</w:t>
            </w:r>
          </w:p>
        </w:tc>
        <w:tc>
          <w:tcPr>
            <w:tcW w:w="1362"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535 mil. Kč</w:t>
            </w:r>
          </w:p>
        </w:tc>
        <w:tc>
          <w:tcPr>
            <w:tcW w:w="960" w:type="dxa"/>
            <w:tcBorders>
              <w:top w:val="nil"/>
              <w:left w:val="nil"/>
              <w:bottom w:val="single" w:sz="4" w:space="0" w:color="D5F1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9%</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C00000"/>
                <w:szCs w:val="22"/>
                <w:lang w:eastAsia="cs-CZ"/>
              </w:rPr>
            </w:pPr>
            <w:r w:rsidRPr="001825DF">
              <w:rPr>
                <w:rFonts w:ascii="Wingdings" w:eastAsia="Times New Roman" w:hAnsi="Wingdings" w:cs="Times New Roman"/>
                <w:color w:val="C00000"/>
                <w:szCs w:val="22"/>
                <w:lang w:eastAsia="cs-CZ"/>
              </w:rPr>
              <w:t></w:t>
            </w:r>
          </w:p>
        </w:tc>
        <w:tc>
          <w:tcPr>
            <w:tcW w:w="4030"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Vozový park a pohonné hmoty</w:t>
            </w:r>
          </w:p>
        </w:tc>
        <w:tc>
          <w:tcPr>
            <w:tcW w:w="1362"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452 mil. Kč</w:t>
            </w:r>
          </w:p>
        </w:tc>
        <w:tc>
          <w:tcPr>
            <w:tcW w:w="960" w:type="dxa"/>
            <w:tcBorders>
              <w:top w:val="nil"/>
              <w:left w:val="nil"/>
              <w:bottom w:val="single" w:sz="4" w:space="0" w:color="D5F1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8%</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66A22A"/>
                <w:szCs w:val="22"/>
                <w:lang w:eastAsia="cs-CZ"/>
              </w:rPr>
            </w:pPr>
            <w:r w:rsidRPr="001825DF">
              <w:rPr>
                <w:rFonts w:ascii="Wingdings" w:eastAsia="Times New Roman" w:hAnsi="Wingdings" w:cs="Times New Roman"/>
                <w:color w:val="66A22A"/>
                <w:szCs w:val="22"/>
                <w:lang w:eastAsia="cs-CZ"/>
              </w:rPr>
              <w:t></w:t>
            </w:r>
          </w:p>
        </w:tc>
        <w:tc>
          <w:tcPr>
            <w:tcW w:w="4030"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Kancelářské potřeby, kancelářská technika</w:t>
            </w:r>
          </w:p>
        </w:tc>
        <w:tc>
          <w:tcPr>
            <w:tcW w:w="1362" w:type="dxa"/>
            <w:tcBorders>
              <w:top w:val="nil"/>
              <w:left w:val="nil"/>
              <w:bottom w:val="single" w:sz="4" w:space="0" w:color="D5F1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446 mil. Kč</w:t>
            </w:r>
          </w:p>
        </w:tc>
        <w:tc>
          <w:tcPr>
            <w:tcW w:w="960" w:type="dxa"/>
            <w:tcBorders>
              <w:top w:val="nil"/>
              <w:left w:val="nil"/>
              <w:bottom w:val="single" w:sz="4" w:space="0" w:color="D5F1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7%</w:t>
            </w:r>
          </w:p>
        </w:tc>
      </w:tr>
      <w:tr w:rsidR="0092134D" w:rsidRPr="001825DF" w:rsidTr="00D9621B">
        <w:trPr>
          <w:trHeight w:val="300"/>
        </w:trPr>
        <w:tc>
          <w:tcPr>
            <w:tcW w:w="380" w:type="dxa"/>
            <w:tcBorders>
              <w:top w:val="nil"/>
              <w:left w:val="nil"/>
              <w:bottom w:val="nil"/>
              <w:right w:val="nil"/>
            </w:tcBorders>
            <w:shd w:val="clear" w:color="auto" w:fill="auto"/>
            <w:noWrap/>
            <w:vAlign w:val="center"/>
            <w:hideMark/>
          </w:tcPr>
          <w:p w:rsidR="0092134D" w:rsidRPr="001825DF" w:rsidRDefault="0092134D" w:rsidP="00D9621B">
            <w:pPr>
              <w:spacing w:before="0" w:after="0" w:line="240" w:lineRule="auto"/>
              <w:jc w:val="center"/>
              <w:rPr>
                <w:rFonts w:ascii="Wingdings" w:eastAsia="Times New Roman" w:hAnsi="Wingdings" w:cs="Times New Roman"/>
                <w:color w:val="79A8F7"/>
                <w:szCs w:val="22"/>
                <w:lang w:eastAsia="cs-CZ"/>
              </w:rPr>
            </w:pPr>
            <w:r w:rsidRPr="001825DF">
              <w:rPr>
                <w:rFonts w:ascii="Wingdings" w:eastAsia="Times New Roman" w:hAnsi="Wingdings" w:cs="Times New Roman"/>
                <w:color w:val="79A8F7"/>
                <w:szCs w:val="22"/>
                <w:lang w:eastAsia="cs-CZ"/>
              </w:rPr>
              <w:t></w:t>
            </w:r>
          </w:p>
        </w:tc>
        <w:tc>
          <w:tcPr>
            <w:tcW w:w="4030" w:type="dxa"/>
            <w:tcBorders>
              <w:top w:val="nil"/>
              <w:left w:val="nil"/>
              <w:bottom w:val="single" w:sz="4" w:space="0" w:color="2DB9FF"/>
              <w:right w:val="nil"/>
            </w:tcBorders>
            <w:shd w:val="clear" w:color="auto" w:fill="auto"/>
            <w:noWrap/>
            <w:vAlign w:val="center"/>
            <w:hideMark/>
          </w:tcPr>
          <w:p w:rsidR="0092134D" w:rsidRPr="001825DF" w:rsidRDefault="0092134D" w:rsidP="00D9621B">
            <w:pPr>
              <w:spacing w:before="0" w:after="0" w:line="240" w:lineRule="auto"/>
              <w:jc w:val="left"/>
              <w:rPr>
                <w:rFonts w:ascii="Calibri" w:eastAsia="Times New Roman" w:hAnsi="Calibri" w:cs="Times New Roman"/>
                <w:b/>
                <w:bCs/>
                <w:sz w:val="20"/>
                <w:lang w:eastAsia="cs-CZ"/>
              </w:rPr>
            </w:pPr>
            <w:r w:rsidRPr="001825DF">
              <w:rPr>
                <w:rFonts w:ascii="Calibri" w:eastAsia="Times New Roman" w:hAnsi="Calibri" w:cs="Times New Roman"/>
                <w:b/>
                <w:bCs/>
                <w:sz w:val="20"/>
                <w:lang w:eastAsia="cs-CZ"/>
              </w:rPr>
              <w:t>Vzdělávání a školení</w:t>
            </w:r>
          </w:p>
        </w:tc>
        <w:tc>
          <w:tcPr>
            <w:tcW w:w="1362" w:type="dxa"/>
            <w:tcBorders>
              <w:top w:val="nil"/>
              <w:left w:val="nil"/>
              <w:bottom w:val="single" w:sz="4" w:space="0" w:color="2DB9FF"/>
              <w:right w:val="nil"/>
            </w:tcBorders>
            <w:shd w:val="clear" w:color="auto" w:fill="auto"/>
            <w:noWrap/>
            <w:vAlign w:val="center"/>
            <w:hideMark/>
          </w:tcPr>
          <w:p w:rsidR="0092134D" w:rsidRPr="001825DF" w:rsidRDefault="0092134D" w:rsidP="00D9621B">
            <w:pPr>
              <w:spacing w:before="0" w:after="0" w:line="240" w:lineRule="auto"/>
              <w:jc w:val="right"/>
              <w:rPr>
                <w:rFonts w:ascii="Calibri" w:eastAsia="Times New Roman" w:hAnsi="Calibri" w:cs="Times New Roman"/>
                <w:sz w:val="20"/>
                <w:lang w:eastAsia="cs-CZ"/>
              </w:rPr>
            </w:pPr>
            <w:r w:rsidRPr="001825DF">
              <w:rPr>
                <w:rFonts w:ascii="Calibri" w:eastAsia="Times New Roman" w:hAnsi="Calibri" w:cs="Times New Roman"/>
                <w:sz w:val="20"/>
                <w:lang w:eastAsia="cs-CZ"/>
              </w:rPr>
              <w:t>84 mil. Kč</w:t>
            </w:r>
          </w:p>
        </w:tc>
        <w:tc>
          <w:tcPr>
            <w:tcW w:w="960" w:type="dxa"/>
            <w:tcBorders>
              <w:top w:val="nil"/>
              <w:left w:val="nil"/>
              <w:bottom w:val="single" w:sz="4" w:space="0" w:color="2DB9FF"/>
              <w:right w:val="nil"/>
            </w:tcBorders>
            <w:shd w:val="clear" w:color="auto" w:fill="auto"/>
            <w:noWrap/>
            <w:vAlign w:val="bottom"/>
            <w:hideMark/>
          </w:tcPr>
          <w:p w:rsidR="0092134D" w:rsidRPr="001825DF" w:rsidRDefault="0092134D" w:rsidP="00D9621B">
            <w:pPr>
              <w:spacing w:before="0" w:after="0" w:line="240" w:lineRule="auto"/>
              <w:jc w:val="right"/>
              <w:rPr>
                <w:rFonts w:ascii="Calibri" w:eastAsia="Times New Roman" w:hAnsi="Calibri" w:cs="Times New Roman"/>
                <w:color w:val="0C0C0C"/>
                <w:szCs w:val="22"/>
                <w:lang w:eastAsia="cs-CZ"/>
              </w:rPr>
            </w:pPr>
            <w:r w:rsidRPr="001825DF">
              <w:rPr>
                <w:rFonts w:ascii="Calibri" w:eastAsia="Times New Roman" w:hAnsi="Calibri" w:cs="Times New Roman"/>
                <w:color w:val="0C0C0C"/>
                <w:szCs w:val="22"/>
                <w:lang w:eastAsia="cs-CZ"/>
              </w:rPr>
              <w:t>1%</w:t>
            </w:r>
          </w:p>
        </w:tc>
      </w:tr>
    </w:tbl>
    <w:p w:rsidR="0092134D" w:rsidRPr="000716BF" w:rsidRDefault="0092134D" w:rsidP="0092134D">
      <w:pPr>
        <w:pStyle w:val="Titulek"/>
        <w:jc w:val="left"/>
        <w:rPr>
          <w:lang w:eastAsia="cs-CZ"/>
        </w:rPr>
      </w:pPr>
      <w:r>
        <w:t xml:space="preserve">Tabulka </w:t>
      </w:r>
      <w:r w:rsidR="002E0428">
        <w:fldChar w:fldCharType="begin"/>
      </w:r>
      <w:r w:rsidR="002E0428">
        <w:instrText xml:space="preserve"> SEQ Tabulka \* ARABIC </w:instrText>
      </w:r>
      <w:r w:rsidR="002E0428">
        <w:fldChar w:fldCharType="separate"/>
      </w:r>
      <w:r w:rsidR="002E0428">
        <w:rPr>
          <w:noProof/>
        </w:rPr>
        <w:t>2</w:t>
      </w:r>
      <w:r w:rsidR="002E0428">
        <w:rPr>
          <w:noProof/>
        </w:rPr>
        <w:fldChar w:fldCharType="end"/>
      </w:r>
      <w:r>
        <w:t xml:space="preserve"> - Finanční objem dle kategorií</w:t>
      </w:r>
      <w:r w:rsidR="00C6057A">
        <w:t xml:space="preserve"> (vzorek 6 resortů)</w:t>
      </w:r>
    </w:p>
    <w:p w:rsidR="00744C1E" w:rsidRDefault="001322D3" w:rsidP="00744C1E">
      <w:pPr>
        <w:rPr>
          <w:b/>
          <w:lang w:eastAsia="cs-CZ"/>
        </w:rPr>
      </w:pPr>
      <w:r w:rsidRPr="00AD1416">
        <w:rPr>
          <w:noProof/>
          <w:lang w:eastAsia="cs-CZ"/>
        </w:rPr>
        <w:t>Celkový</w:t>
      </w:r>
      <w:r w:rsidR="00AD1416">
        <w:rPr>
          <w:noProof/>
          <w:lang w:eastAsia="cs-CZ"/>
        </w:rPr>
        <w:t xml:space="preserve"> finanční objem výdajů na komodity splňující předpoklady pro zařazení do centrálního nákupu státu činil ve zkoumaném vzorku </w:t>
      </w:r>
      <w:r w:rsidR="006D6C71">
        <w:rPr>
          <w:noProof/>
          <w:lang w:eastAsia="cs-CZ"/>
        </w:rPr>
        <w:t>5,9</w:t>
      </w:r>
      <w:r w:rsidR="000E4D0C">
        <w:rPr>
          <w:noProof/>
          <w:lang w:eastAsia="cs-CZ"/>
        </w:rPr>
        <w:t xml:space="preserve"> mld. Kč. </w:t>
      </w:r>
      <w:r w:rsidR="000E4D0C" w:rsidRPr="006B62C3">
        <w:rPr>
          <w:noProof/>
          <w:lang w:eastAsia="cs-CZ"/>
        </w:rPr>
        <w:t xml:space="preserve">Při aproximaci na všechny </w:t>
      </w:r>
      <w:r w:rsidR="000E4D0C" w:rsidRPr="006B62C3">
        <w:rPr>
          <w:lang w:eastAsia="cs-CZ"/>
        </w:rPr>
        <w:t>ústřední organizační složky státu a jejich podřízené organizace lze tedy</w:t>
      </w:r>
      <w:r w:rsidR="000E4D0C" w:rsidRPr="002B0C19">
        <w:rPr>
          <w:b/>
          <w:lang w:eastAsia="cs-CZ"/>
        </w:rPr>
        <w:t xml:space="preserve"> předpokládat celkový</w:t>
      </w:r>
      <w:r w:rsidR="006B62C3">
        <w:rPr>
          <w:b/>
          <w:lang w:eastAsia="cs-CZ"/>
        </w:rPr>
        <w:t xml:space="preserve"> potenciál</w:t>
      </w:r>
      <w:r w:rsidR="000E4D0C" w:rsidRPr="002B0C19">
        <w:rPr>
          <w:b/>
          <w:lang w:eastAsia="cs-CZ"/>
        </w:rPr>
        <w:t xml:space="preserve"> finanční</w:t>
      </w:r>
      <w:r w:rsidR="006B62C3">
        <w:rPr>
          <w:b/>
          <w:lang w:eastAsia="cs-CZ"/>
        </w:rPr>
        <w:t>ho</w:t>
      </w:r>
      <w:r w:rsidR="000E4D0C" w:rsidRPr="002B0C19">
        <w:rPr>
          <w:b/>
          <w:lang w:eastAsia="cs-CZ"/>
        </w:rPr>
        <w:t xml:space="preserve"> objem</w:t>
      </w:r>
      <w:r w:rsidR="006B62C3">
        <w:rPr>
          <w:b/>
          <w:lang w:eastAsia="cs-CZ"/>
        </w:rPr>
        <w:t>u</w:t>
      </w:r>
      <w:r w:rsidR="000E4D0C" w:rsidRPr="002B0C19">
        <w:rPr>
          <w:b/>
          <w:lang w:eastAsia="cs-CZ"/>
        </w:rPr>
        <w:t xml:space="preserve"> těchto komodit na úrovni ústřední státní správy </w:t>
      </w:r>
      <w:r w:rsidR="006D6C71">
        <w:rPr>
          <w:b/>
          <w:lang w:eastAsia="cs-CZ"/>
        </w:rPr>
        <w:t>18,8</w:t>
      </w:r>
      <w:r w:rsidR="000E4D0C" w:rsidRPr="002B0C19">
        <w:rPr>
          <w:b/>
          <w:lang w:eastAsia="cs-CZ"/>
        </w:rPr>
        <w:t xml:space="preserve"> mld. Kč.</w:t>
      </w:r>
      <w:r w:rsidR="006B62C3">
        <w:rPr>
          <w:b/>
          <w:lang w:eastAsia="cs-CZ"/>
        </w:rPr>
        <w:t xml:space="preserve"> </w:t>
      </w:r>
    </w:p>
    <w:p w:rsidR="00744C1E" w:rsidRPr="00F56546" w:rsidRDefault="00E727A1" w:rsidP="00744C1E">
      <w:pPr>
        <w:rPr>
          <w:noProof/>
          <w:lang w:eastAsia="cs-CZ"/>
        </w:rPr>
      </w:pPr>
      <w:r w:rsidRPr="00F56546">
        <w:rPr>
          <w:noProof/>
          <w:lang w:eastAsia="cs-CZ"/>
        </w:rPr>
        <w:t>C</w:t>
      </w:r>
      <w:r w:rsidR="000E4D0C" w:rsidRPr="00F56546">
        <w:rPr>
          <w:noProof/>
          <w:lang w:eastAsia="cs-CZ"/>
        </w:rPr>
        <w:t xml:space="preserve">entrální nákup státu lze </w:t>
      </w:r>
      <w:r w:rsidRPr="00F56546">
        <w:rPr>
          <w:noProof/>
          <w:lang w:eastAsia="cs-CZ"/>
        </w:rPr>
        <w:t>realizovat</w:t>
      </w:r>
      <w:r w:rsidR="00272D05" w:rsidRPr="00F56546">
        <w:rPr>
          <w:noProof/>
          <w:lang w:eastAsia="cs-CZ"/>
        </w:rPr>
        <w:t xml:space="preserve"> ve dvou variantách</w:t>
      </w:r>
      <w:r w:rsidRPr="00F56546">
        <w:rPr>
          <w:noProof/>
          <w:lang w:eastAsia="cs-CZ"/>
        </w:rPr>
        <w:t>, které se od sebe liší rozsahem povinných komodit</w:t>
      </w:r>
      <w:r w:rsidR="00272D05" w:rsidRPr="00F56546">
        <w:rPr>
          <w:noProof/>
          <w:lang w:eastAsia="cs-CZ"/>
        </w:rPr>
        <w:t>.</w:t>
      </w:r>
    </w:p>
    <w:p w:rsidR="00272D05" w:rsidRDefault="00272D05" w:rsidP="00744C1E">
      <w:pPr>
        <w:rPr>
          <w:noProof/>
          <w:lang w:eastAsia="cs-CZ"/>
        </w:rPr>
      </w:pPr>
      <w:r w:rsidRPr="003D2068">
        <w:rPr>
          <w:b/>
          <w:noProof/>
          <w:lang w:eastAsia="cs-CZ"/>
        </w:rPr>
        <w:t>Varianta č. 1</w:t>
      </w:r>
      <w:r>
        <w:rPr>
          <w:noProof/>
          <w:lang w:eastAsia="cs-CZ"/>
        </w:rPr>
        <w:t xml:space="preserve"> zahrnuje pouze komodity, u nichž už dnes dochází ke strandardizaci a centralizaci nákupu na úrovni jednotlivých resortů.</w:t>
      </w:r>
    </w:p>
    <w:p w:rsidR="00E24B86" w:rsidRDefault="00E24B86" w:rsidP="00744C1E">
      <w:pPr>
        <w:rPr>
          <w:noProof/>
          <w:lang w:eastAsia="cs-CZ"/>
        </w:rPr>
        <w:sectPr w:rsidR="00E24B86" w:rsidSect="007D0312">
          <w:pgSz w:w="11906" w:h="16838"/>
          <w:pgMar w:top="1417" w:right="1417" w:bottom="1417" w:left="1417" w:header="708" w:footer="708" w:gutter="0"/>
          <w:cols w:space="708"/>
          <w:docGrid w:linePitch="360"/>
        </w:sectPr>
      </w:pPr>
    </w:p>
    <w:p w:rsidR="00272D05" w:rsidRDefault="00272D05" w:rsidP="00744C1E">
      <w:pPr>
        <w:rPr>
          <w:noProof/>
          <w:lang w:eastAsia="cs-CZ"/>
        </w:rPr>
      </w:pPr>
      <w:r>
        <w:rPr>
          <w:noProof/>
          <w:lang w:eastAsia="cs-CZ"/>
        </w:rPr>
        <w:lastRenderedPageBreak/>
        <w:t xml:space="preserve">Jedná se o následující </w:t>
      </w:r>
      <w:r w:rsidR="00DC4CEF">
        <w:rPr>
          <w:noProof/>
          <w:lang w:eastAsia="cs-CZ"/>
        </w:rPr>
        <w:t>komoditní kategorie</w:t>
      </w:r>
      <w:r>
        <w:rPr>
          <w:noProof/>
          <w:lang w:eastAsia="cs-CZ"/>
        </w:rPr>
        <w:t>:</w:t>
      </w:r>
    </w:p>
    <w:p w:rsidR="00272D05" w:rsidRDefault="00272D05" w:rsidP="00272D05">
      <w:pPr>
        <w:pStyle w:val="Odstavecseseznamem"/>
        <w:keepNext/>
        <w:numPr>
          <w:ilvl w:val="0"/>
          <w:numId w:val="29"/>
        </w:numPr>
        <w:spacing w:before="60" w:after="60"/>
        <w:contextualSpacing w:val="0"/>
        <w:rPr>
          <w:lang w:eastAsia="cs-CZ"/>
        </w:rPr>
      </w:pPr>
      <w:r w:rsidRPr="006C4E0E">
        <w:rPr>
          <w:b/>
          <w:lang w:eastAsia="cs-CZ"/>
        </w:rPr>
        <w:t>ICT komodity</w:t>
      </w:r>
      <w:r>
        <w:rPr>
          <w:lang w:eastAsia="cs-CZ"/>
        </w:rPr>
        <w:t xml:space="preserve"> (počítače a příslušenství, tiskárny, software, hlasové a datové služby)</w:t>
      </w:r>
    </w:p>
    <w:p w:rsidR="00272D05" w:rsidRPr="006C4E0E" w:rsidRDefault="00272D05" w:rsidP="00272D05">
      <w:pPr>
        <w:pStyle w:val="Odstavecseseznamem"/>
        <w:keepNext/>
        <w:numPr>
          <w:ilvl w:val="0"/>
          <w:numId w:val="29"/>
        </w:numPr>
        <w:spacing w:before="60" w:after="60"/>
        <w:ind w:left="714" w:hanging="357"/>
        <w:contextualSpacing w:val="0"/>
        <w:rPr>
          <w:b/>
          <w:lang w:eastAsia="cs-CZ"/>
        </w:rPr>
      </w:pPr>
      <w:r w:rsidRPr="006C4E0E">
        <w:rPr>
          <w:b/>
          <w:lang w:eastAsia="cs-CZ"/>
        </w:rPr>
        <w:t>Vozový park, pneumatiky, servisní služby, pohonné hmoty</w:t>
      </w:r>
    </w:p>
    <w:p w:rsidR="00272D05" w:rsidRDefault="00272D05" w:rsidP="00272D05">
      <w:pPr>
        <w:pStyle w:val="Odstavecseseznamem"/>
        <w:keepNext/>
        <w:numPr>
          <w:ilvl w:val="0"/>
          <w:numId w:val="29"/>
        </w:numPr>
        <w:spacing w:before="60" w:after="60"/>
        <w:ind w:left="714" w:hanging="357"/>
        <w:contextualSpacing w:val="0"/>
        <w:rPr>
          <w:lang w:eastAsia="cs-CZ"/>
        </w:rPr>
      </w:pPr>
      <w:r w:rsidRPr="006C4E0E">
        <w:rPr>
          <w:b/>
          <w:lang w:eastAsia="cs-CZ"/>
        </w:rPr>
        <w:t>Kancelářské vybavení</w:t>
      </w:r>
      <w:r>
        <w:rPr>
          <w:lang w:eastAsia="cs-CZ"/>
        </w:rPr>
        <w:t xml:space="preserve"> (</w:t>
      </w:r>
      <w:r w:rsidR="006C4E0E">
        <w:rPr>
          <w:lang w:eastAsia="cs-CZ"/>
        </w:rPr>
        <w:t xml:space="preserve">kancelářský </w:t>
      </w:r>
      <w:r>
        <w:rPr>
          <w:lang w:eastAsia="cs-CZ"/>
        </w:rPr>
        <w:t xml:space="preserve">papír, spotřební materiál, pracovní pomůcky, </w:t>
      </w:r>
      <w:r w:rsidR="006C4E0E">
        <w:rPr>
          <w:lang w:eastAsia="cs-CZ"/>
        </w:rPr>
        <w:t xml:space="preserve">kancelářská </w:t>
      </w:r>
      <w:r>
        <w:rPr>
          <w:lang w:eastAsia="cs-CZ"/>
        </w:rPr>
        <w:t xml:space="preserve">technika, </w:t>
      </w:r>
      <w:r w:rsidR="006C4E0E">
        <w:rPr>
          <w:lang w:eastAsia="cs-CZ"/>
        </w:rPr>
        <w:t xml:space="preserve">kancelářský </w:t>
      </w:r>
      <w:r>
        <w:rPr>
          <w:lang w:eastAsia="cs-CZ"/>
        </w:rPr>
        <w:t>nábytek)</w:t>
      </w:r>
    </w:p>
    <w:p w:rsidR="00272D05" w:rsidRPr="006C4E0E" w:rsidRDefault="00272D05" w:rsidP="00272D05">
      <w:pPr>
        <w:pStyle w:val="Odstavecseseznamem"/>
        <w:keepNext/>
        <w:numPr>
          <w:ilvl w:val="0"/>
          <w:numId w:val="29"/>
        </w:numPr>
        <w:spacing w:before="60" w:after="60"/>
        <w:ind w:left="714" w:hanging="357"/>
        <w:contextualSpacing w:val="0"/>
        <w:rPr>
          <w:b/>
          <w:lang w:eastAsia="cs-CZ"/>
        </w:rPr>
      </w:pPr>
      <w:r w:rsidRPr="006C4E0E">
        <w:rPr>
          <w:b/>
          <w:lang w:eastAsia="cs-CZ"/>
        </w:rPr>
        <w:t>Energie, správa a údržba budov, čistící a hygienické prostředky</w:t>
      </w:r>
    </w:p>
    <w:p w:rsidR="00272D05" w:rsidRDefault="002B0C19" w:rsidP="00272D05">
      <w:pPr>
        <w:pStyle w:val="Odstavecseseznamem"/>
        <w:keepNext/>
        <w:numPr>
          <w:ilvl w:val="0"/>
          <w:numId w:val="29"/>
        </w:numPr>
        <w:spacing w:before="60" w:after="60"/>
        <w:ind w:left="714" w:hanging="357"/>
        <w:contextualSpacing w:val="0"/>
        <w:rPr>
          <w:lang w:eastAsia="cs-CZ"/>
        </w:rPr>
      </w:pPr>
      <w:r>
        <w:rPr>
          <w:b/>
          <w:lang w:eastAsia="cs-CZ"/>
        </w:rPr>
        <w:t>Doprava a ubytování</w:t>
      </w:r>
      <w:r w:rsidR="00272D05" w:rsidRPr="006C4E0E">
        <w:rPr>
          <w:b/>
          <w:lang w:eastAsia="cs-CZ"/>
        </w:rPr>
        <w:t xml:space="preserve"> </w:t>
      </w:r>
      <w:r w:rsidR="00272D05">
        <w:rPr>
          <w:lang w:eastAsia="cs-CZ"/>
        </w:rPr>
        <w:t>(letenky, jízdenky, ubytování)</w:t>
      </w:r>
    </w:p>
    <w:p w:rsidR="00272D05" w:rsidRDefault="00272D05" w:rsidP="00272D05">
      <w:pPr>
        <w:rPr>
          <w:noProof/>
          <w:lang w:eastAsia="cs-CZ"/>
        </w:rPr>
      </w:pPr>
      <w:r>
        <w:rPr>
          <w:noProof/>
          <w:lang w:eastAsia="cs-CZ"/>
        </w:rPr>
        <w:t>Potenciální fina</w:t>
      </w:r>
      <w:r w:rsidR="001A7BFD">
        <w:rPr>
          <w:noProof/>
          <w:lang w:eastAsia="cs-CZ"/>
        </w:rPr>
        <w:t>n</w:t>
      </w:r>
      <w:r>
        <w:rPr>
          <w:noProof/>
          <w:lang w:eastAsia="cs-CZ"/>
        </w:rPr>
        <w:t xml:space="preserve">ční objem, na který by se v případě varianty č. 1 </w:t>
      </w:r>
      <w:r w:rsidR="00A1234E">
        <w:rPr>
          <w:noProof/>
          <w:lang w:eastAsia="cs-CZ"/>
        </w:rPr>
        <w:t xml:space="preserve">mohl </w:t>
      </w:r>
      <w:r>
        <w:rPr>
          <w:noProof/>
          <w:lang w:eastAsia="cs-CZ"/>
        </w:rPr>
        <w:t>centrální nákup státu vztahova</w:t>
      </w:r>
      <w:r w:rsidR="00A1234E">
        <w:rPr>
          <w:noProof/>
          <w:lang w:eastAsia="cs-CZ"/>
        </w:rPr>
        <w:t>t</w:t>
      </w:r>
      <w:r>
        <w:rPr>
          <w:noProof/>
          <w:lang w:eastAsia="cs-CZ"/>
        </w:rPr>
        <w:t xml:space="preserve">, činí </w:t>
      </w:r>
      <w:r w:rsidR="006D6C71" w:rsidRPr="006B62C3">
        <w:rPr>
          <w:b/>
          <w:noProof/>
          <w:lang w:eastAsia="cs-CZ"/>
        </w:rPr>
        <w:t>12,9</w:t>
      </w:r>
      <w:r w:rsidRPr="006B62C3">
        <w:rPr>
          <w:b/>
          <w:noProof/>
          <w:lang w:eastAsia="cs-CZ"/>
        </w:rPr>
        <w:t xml:space="preserve"> mld. Kč.</w:t>
      </w:r>
    </w:p>
    <w:p w:rsidR="00272D05" w:rsidRDefault="00272D05" w:rsidP="00744C1E">
      <w:pPr>
        <w:rPr>
          <w:noProof/>
          <w:lang w:eastAsia="cs-CZ"/>
        </w:rPr>
      </w:pPr>
      <w:r w:rsidRPr="003D2068">
        <w:rPr>
          <w:b/>
          <w:noProof/>
          <w:lang w:eastAsia="cs-CZ"/>
        </w:rPr>
        <w:t>Varianta č. 2</w:t>
      </w:r>
      <w:r>
        <w:rPr>
          <w:noProof/>
          <w:lang w:eastAsia="cs-CZ"/>
        </w:rPr>
        <w:t xml:space="preserve"> zahrnuje navíc komodit</w:t>
      </w:r>
      <w:r w:rsidR="00DC4CEF">
        <w:rPr>
          <w:noProof/>
          <w:lang w:eastAsia="cs-CZ"/>
        </w:rPr>
        <w:t>ní kategorie</w:t>
      </w:r>
      <w:r>
        <w:rPr>
          <w:noProof/>
          <w:lang w:eastAsia="cs-CZ"/>
        </w:rPr>
        <w:t>, u kterých ke strandardizaci a centralizaci nákupu na úrovni jednotlivých resortů nedochází, avšak ze zahraniční praxe je jejich centrální nákup možný a přináší s sebou vysoký potenciál úspor.</w:t>
      </w:r>
    </w:p>
    <w:p w:rsidR="00272D05" w:rsidRDefault="00A1234E" w:rsidP="00744C1E">
      <w:pPr>
        <w:rPr>
          <w:noProof/>
          <w:lang w:eastAsia="cs-CZ"/>
        </w:rPr>
      </w:pPr>
      <w:r>
        <w:rPr>
          <w:noProof/>
          <w:lang w:eastAsia="cs-CZ"/>
        </w:rPr>
        <w:t>Nad rámec komodit uvedených ve variantě č. 1 se j</w:t>
      </w:r>
      <w:r w:rsidR="00272D05">
        <w:rPr>
          <w:noProof/>
          <w:lang w:eastAsia="cs-CZ"/>
        </w:rPr>
        <w:t>edná se o následující komodity:</w:t>
      </w:r>
    </w:p>
    <w:p w:rsidR="00272D05" w:rsidRDefault="00272D05" w:rsidP="00272D05">
      <w:pPr>
        <w:pStyle w:val="Odstavecseseznamem"/>
        <w:keepNext/>
        <w:numPr>
          <w:ilvl w:val="0"/>
          <w:numId w:val="29"/>
        </w:numPr>
        <w:spacing w:before="60" w:after="60"/>
        <w:contextualSpacing w:val="0"/>
        <w:rPr>
          <w:lang w:eastAsia="cs-CZ"/>
        </w:rPr>
      </w:pPr>
      <w:r w:rsidRPr="006C4E0E">
        <w:rPr>
          <w:b/>
          <w:lang w:eastAsia="cs-CZ"/>
        </w:rPr>
        <w:t>Vzdělávání</w:t>
      </w:r>
      <w:r>
        <w:rPr>
          <w:lang w:eastAsia="cs-CZ"/>
        </w:rPr>
        <w:t xml:space="preserve"> </w:t>
      </w:r>
      <w:r w:rsidR="002B0C19">
        <w:rPr>
          <w:lang w:eastAsia="cs-CZ"/>
        </w:rPr>
        <w:t xml:space="preserve">a školení </w:t>
      </w:r>
      <w:r>
        <w:rPr>
          <w:lang w:eastAsia="cs-CZ"/>
        </w:rPr>
        <w:t>(kurzy, školení, e-</w:t>
      </w:r>
      <w:proofErr w:type="spellStart"/>
      <w:r>
        <w:rPr>
          <w:lang w:eastAsia="cs-CZ"/>
        </w:rPr>
        <w:t>learning</w:t>
      </w:r>
      <w:proofErr w:type="spellEnd"/>
      <w:r>
        <w:rPr>
          <w:lang w:eastAsia="cs-CZ"/>
        </w:rPr>
        <w:t>)</w:t>
      </w:r>
    </w:p>
    <w:p w:rsidR="00272D05" w:rsidRPr="006C4E0E" w:rsidRDefault="00272D05" w:rsidP="00272D05">
      <w:pPr>
        <w:pStyle w:val="Odstavecseseznamem"/>
        <w:keepNext/>
        <w:numPr>
          <w:ilvl w:val="0"/>
          <w:numId w:val="29"/>
        </w:numPr>
        <w:spacing w:before="60" w:after="60"/>
        <w:contextualSpacing w:val="0"/>
        <w:rPr>
          <w:b/>
          <w:lang w:eastAsia="cs-CZ"/>
        </w:rPr>
      </w:pPr>
      <w:r w:rsidRPr="006C4E0E">
        <w:rPr>
          <w:b/>
          <w:lang w:eastAsia="cs-CZ"/>
        </w:rPr>
        <w:t>Právní, poradenské a marketingové služby</w:t>
      </w:r>
    </w:p>
    <w:p w:rsidR="00A1234E" w:rsidRDefault="00E727A1" w:rsidP="00A1234E">
      <w:pPr>
        <w:rPr>
          <w:noProof/>
          <w:lang w:eastAsia="cs-CZ"/>
        </w:rPr>
      </w:pPr>
      <w:r>
        <w:rPr>
          <w:noProof/>
          <w:lang w:eastAsia="cs-CZ"/>
        </w:rPr>
        <w:t xml:space="preserve">Dodatečný </w:t>
      </w:r>
      <w:r w:rsidR="00335F09">
        <w:rPr>
          <w:noProof/>
          <w:lang w:eastAsia="cs-CZ"/>
        </w:rPr>
        <w:t>p</w:t>
      </w:r>
      <w:r w:rsidR="00A1234E">
        <w:rPr>
          <w:noProof/>
          <w:lang w:eastAsia="cs-CZ"/>
        </w:rPr>
        <w:t xml:space="preserve">otenciální finační objem, na který by se v případě varianty č. 2 mohl centrální nákup státu vztahovat, činí </w:t>
      </w:r>
      <w:r w:rsidRPr="006B62C3">
        <w:rPr>
          <w:b/>
          <w:noProof/>
          <w:lang w:eastAsia="cs-CZ"/>
        </w:rPr>
        <w:t>5,8</w:t>
      </w:r>
      <w:r w:rsidR="00A1234E" w:rsidRPr="006B62C3">
        <w:rPr>
          <w:b/>
          <w:noProof/>
          <w:lang w:eastAsia="cs-CZ"/>
        </w:rPr>
        <w:t xml:space="preserve"> mld. Kč.</w:t>
      </w:r>
    </w:p>
    <w:p w:rsidR="007A4911" w:rsidRDefault="00F56546" w:rsidP="00F56546">
      <w:pPr>
        <w:rPr>
          <w:b/>
          <w:lang w:eastAsia="cs-CZ"/>
        </w:rPr>
      </w:pPr>
      <w:r w:rsidRPr="00F56546">
        <w:rPr>
          <w:b/>
          <w:lang w:eastAsia="cs-CZ"/>
        </w:rPr>
        <w:t xml:space="preserve">Ministerstvo financí navrhuje </w:t>
      </w:r>
      <w:r>
        <w:rPr>
          <w:b/>
          <w:lang w:eastAsia="cs-CZ"/>
        </w:rPr>
        <w:t xml:space="preserve">do </w:t>
      </w:r>
      <w:r w:rsidRPr="00F56546">
        <w:rPr>
          <w:b/>
          <w:lang w:eastAsia="cs-CZ"/>
        </w:rPr>
        <w:t>centrální</w:t>
      </w:r>
      <w:r>
        <w:rPr>
          <w:b/>
          <w:lang w:eastAsia="cs-CZ"/>
        </w:rPr>
        <w:t>ho</w:t>
      </w:r>
      <w:r w:rsidRPr="00F56546">
        <w:rPr>
          <w:b/>
          <w:lang w:eastAsia="cs-CZ"/>
        </w:rPr>
        <w:t xml:space="preserve"> nákup</w:t>
      </w:r>
      <w:r>
        <w:rPr>
          <w:b/>
          <w:lang w:eastAsia="cs-CZ"/>
        </w:rPr>
        <w:t>u</w:t>
      </w:r>
      <w:r w:rsidRPr="00F56546">
        <w:rPr>
          <w:b/>
          <w:lang w:eastAsia="cs-CZ"/>
        </w:rPr>
        <w:t xml:space="preserve"> státu </w:t>
      </w:r>
      <w:r>
        <w:rPr>
          <w:b/>
          <w:lang w:eastAsia="cs-CZ"/>
        </w:rPr>
        <w:t xml:space="preserve">zahrnout komodity ve </w:t>
      </w:r>
      <w:r w:rsidRPr="00F56546">
        <w:rPr>
          <w:b/>
          <w:lang w:eastAsia="cs-CZ"/>
        </w:rPr>
        <w:t>variant</w:t>
      </w:r>
      <w:r>
        <w:rPr>
          <w:b/>
          <w:lang w:eastAsia="cs-CZ"/>
        </w:rPr>
        <w:t>ě</w:t>
      </w:r>
      <w:r w:rsidRPr="00F56546">
        <w:rPr>
          <w:b/>
          <w:lang w:eastAsia="cs-CZ"/>
        </w:rPr>
        <w:t xml:space="preserve"> č. 1</w:t>
      </w:r>
      <w:r w:rsidR="0014635F">
        <w:rPr>
          <w:b/>
          <w:lang w:eastAsia="cs-CZ"/>
        </w:rPr>
        <w:t>.</w:t>
      </w:r>
      <w:r>
        <w:rPr>
          <w:b/>
          <w:lang w:eastAsia="cs-CZ"/>
        </w:rPr>
        <w:t xml:space="preserve"> </w:t>
      </w:r>
      <w:r w:rsidR="000C7247">
        <w:rPr>
          <w:lang w:eastAsia="cs-CZ"/>
        </w:rPr>
        <w:t>N</w:t>
      </w:r>
      <w:r w:rsidRPr="00F56546">
        <w:rPr>
          <w:lang w:eastAsia="cs-CZ"/>
        </w:rPr>
        <w:t xml:space="preserve">a základě zkušeností získaných v praxi </w:t>
      </w:r>
      <w:r w:rsidR="000C7247">
        <w:rPr>
          <w:lang w:eastAsia="cs-CZ"/>
        </w:rPr>
        <w:t xml:space="preserve">lze </w:t>
      </w:r>
      <w:r w:rsidR="0014635F">
        <w:rPr>
          <w:lang w:eastAsia="cs-CZ"/>
        </w:rPr>
        <w:t>rozsah komodit</w:t>
      </w:r>
      <w:r w:rsidRPr="00F56546">
        <w:rPr>
          <w:lang w:eastAsia="cs-CZ"/>
        </w:rPr>
        <w:t xml:space="preserve"> formou usnesení vlády</w:t>
      </w:r>
      <w:r w:rsidR="00BC3542">
        <w:rPr>
          <w:lang w:eastAsia="cs-CZ"/>
        </w:rPr>
        <w:t xml:space="preserve"> následně</w:t>
      </w:r>
      <w:r w:rsidRPr="00F56546">
        <w:rPr>
          <w:lang w:eastAsia="cs-CZ"/>
        </w:rPr>
        <w:t xml:space="preserve"> dále rozšiřovat</w:t>
      </w:r>
      <w:r w:rsidR="000C7247">
        <w:rPr>
          <w:lang w:eastAsia="cs-CZ"/>
        </w:rPr>
        <w:t xml:space="preserve"> a aktualizovat</w:t>
      </w:r>
      <w:r w:rsidRPr="00F56546">
        <w:rPr>
          <w:lang w:eastAsia="cs-CZ"/>
        </w:rPr>
        <w:t>.</w:t>
      </w:r>
    </w:p>
    <w:p w:rsidR="00855B05" w:rsidRPr="009338C8" w:rsidRDefault="00855B05" w:rsidP="00FB6962">
      <w:pPr>
        <w:pStyle w:val="Odstavecseseznamem"/>
        <w:numPr>
          <w:ilvl w:val="0"/>
          <w:numId w:val="31"/>
        </w:numPr>
        <w:spacing w:before="120"/>
        <w:ind w:left="357" w:hanging="357"/>
        <w:contextualSpacing w:val="0"/>
        <w:rPr>
          <w:b/>
          <w:lang w:eastAsia="cs-CZ"/>
        </w:rPr>
      </w:pPr>
      <w:r w:rsidRPr="009338C8">
        <w:rPr>
          <w:b/>
          <w:lang w:eastAsia="cs-CZ"/>
        </w:rPr>
        <w:t>Analýza rizik spojených s implementací centrálního nákupu státu a hlavní závěry plynoucí z analýzy rizik pro návrh pravidel centrálního nákupu státu</w:t>
      </w:r>
    </w:p>
    <w:p w:rsidR="005F2CF0" w:rsidRDefault="00A00BA3" w:rsidP="005F2CF0">
      <w:pPr>
        <w:rPr>
          <w:lang w:eastAsia="cs-CZ"/>
        </w:rPr>
      </w:pPr>
      <w:r>
        <w:rPr>
          <w:lang w:eastAsia="cs-CZ"/>
        </w:rPr>
        <w:t>Na základě</w:t>
      </w:r>
      <w:r w:rsidR="005F2CF0">
        <w:rPr>
          <w:lang w:eastAsia="cs-CZ"/>
        </w:rPr>
        <w:t> usnesení vlády ČR č. 563 ze dne 20. července 2011</w:t>
      </w:r>
      <w:r>
        <w:rPr>
          <w:lang w:eastAsia="cs-CZ"/>
        </w:rPr>
        <w:t xml:space="preserve"> byla resortům uložena povinnost </w:t>
      </w:r>
      <w:r w:rsidR="000927A8">
        <w:rPr>
          <w:lang w:eastAsia="cs-CZ"/>
        </w:rPr>
        <w:t>ustanovit v souladu s Minimálními požadavky resortní systémy centralizovaného zadávání a při zahájení zadávacího řízení na nákup komodit uvedených v resortním seznamu komodit postupovat s využitím institutu centrálního zadavatele v rámci resortního systému centralizovaného zadávání.</w:t>
      </w:r>
    </w:p>
    <w:p w:rsidR="00855B05" w:rsidRDefault="00855B05" w:rsidP="005F2CF0">
      <w:pPr>
        <w:rPr>
          <w:lang w:eastAsia="cs-CZ"/>
        </w:rPr>
      </w:pPr>
      <w:r>
        <w:rPr>
          <w:lang w:eastAsia="cs-CZ"/>
        </w:rPr>
        <w:t>N</w:t>
      </w:r>
      <w:r w:rsidR="009433A6">
        <w:rPr>
          <w:lang w:eastAsia="cs-CZ"/>
        </w:rPr>
        <w:t xml:space="preserve">a základě zkušeností </w:t>
      </w:r>
      <w:r w:rsidR="00B107FB">
        <w:rPr>
          <w:lang w:eastAsia="cs-CZ"/>
        </w:rPr>
        <w:t>M</w:t>
      </w:r>
      <w:r w:rsidR="00663956">
        <w:rPr>
          <w:lang w:eastAsia="cs-CZ"/>
        </w:rPr>
        <w:t>inisterstva financí</w:t>
      </w:r>
      <w:r w:rsidR="00B107FB">
        <w:rPr>
          <w:lang w:eastAsia="cs-CZ"/>
        </w:rPr>
        <w:t xml:space="preserve"> s realizací pilotního projektu centrálního nákupu státu a zkušeností </w:t>
      </w:r>
      <w:r w:rsidR="009433A6">
        <w:rPr>
          <w:lang w:eastAsia="cs-CZ"/>
        </w:rPr>
        <w:t xml:space="preserve">resortů s centralizací nákupu byla identifikována následující </w:t>
      </w:r>
      <w:r w:rsidR="00DD4AB1">
        <w:rPr>
          <w:lang w:eastAsia="cs-CZ"/>
        </w:rPr>
        <w:t xml:space="preserve">nejvýznamnější </w:t>
      </w:r>
      <w:r w:rsidR="009433A6">
        <w:rPr>
          <w:lang w:eastAsia="cs-CZ"/>
        </w:rPr>
        <w:t>rizika:</w:t>
      </w:r>
    </w:p>
    <w:tbl>
      <w:tblPr>
        <w:tblStyle w:val="Tabulka47"/>
        <w:tblW w:w="9180" w:type="dxa"/>
        <w:tblInd w:w="108" w:type="dxa"/>
        <w:tblLayout w:type="fixed"/>
        <w:tblLook w:val="0420" w:firstRow="1" w:lastRow="0" w:firstColumn="0" w:lastColumn="0" w:noHBand="0" w:noVBand="1"/>
      </w:tblPr>
      <w:tblGrid>
        <w:gridCol w:w="9180"/>
      </w:tblGrid>
      <w:tr w:rsidR="00AE0AA0" w:rsidRPr="001B2C32" w:rsidTr="005972D4">
        <w:trPr>
          <w:cnfStyle w:val="100000000000" w:firstRow="1" w:lastRow="0" w:firstColumn="0" w:lastColumn="0" w:oddVBand="0" w:evenVBand="0" w:oddHBand="0" w:evenHBand="0" w:firstRowFirstColumn="0" w:firstRowLastColumn="0" w:lastRowFirstColumn="0" w:lastRowLastColumn="0"/>
          <w:trHeight w:val="505"/>
          <w:tblHeader/>
        </w:trPr>
        <w:tc>
          <w:tcPr>
            <w:tcW w:w="9180" w:type="dxa"/>
          </w:tcPr>
          <w:p w:rsidR="00AE0AA0" w:rsidRPr="00D13FF8" w:rsidRDefault="00FB6962" w:rsidP="005972D4">
            <w:pPr>
              <w:spacing w:before="60" w:after="60"/>
              <w:contextualSpacing w:val="0"/>
              <w:jc w:val="left"/>
              <w:rPr>
                <w:sz w:val="20"/>
              </w:rPr>
            </w:pPr>
            <w:r>
              <w:rPr>
                <w:sz w:val="20"/>
              </w:rPr>
              <w:t>Nejvýznamnější rizika centralizace nákupu</w:t>
            </w:r>
          </w:p>
        </w:tc>
      </w:tr>
      <w:tr w:rsidR="009433A6" w:rsidRPr="001B2C32" w:rsidTr="005972D4">
        <w:trPr>
          <w:cnfStyle w:val="000000100000" w:firstRow="0" w:lastRow="0" w:firstColumn="0" w:lastColumn="0" w:oddVBand="0" w:evenVBand="0" w:oddHBand="1" w:evenHBand="0" w:firstRowFirstColumn="0" w:firstRowLastColumn="0" w:lastRowFirstColumn="0" w:lastRowLastColumn="0"/>
          <w:trHeight w:val="567"/>
        </w:trPr>
        <w:tc>
          <w:tcPr>
            <w:tcW w:w="9180" w:type="dxa"/>
            <w:tcBorders>
              <w:top w:val="nil"/>
              <w:bottom w:val="nil"/>
              <w:right w:val="single" w:sz="8" w:space="0" w:color="C2C2C2" w:themeColor="text1" w:themeTint="40"/>
            </w:tcBorders>
            <w:shd w:val="clear" w:color="auto" w:fill="D5F1FF" w:themeFill="accent2" w:themeFillTint="33"/>
          </w:tcPr>
          <w:p w:rsidR="009433A6" w:rsidRDefault="009433A6" w:rsidP="005972D4">
            <w:pPr>
              <w:spacing w:before="60" w:beforeAutospacing="0" w:after="60" w:afterAutospacing="0"/>
              <w:jc w:val="left"/>
              <w:rPr>
                <w:b/>
                <w:sz w:val="20"/>
              </w:rPr>
            </w:pPr>
            <w:r>
              <w:rPr>
                <w:b/>
                <w:sz w:val="20"/>
              </w:rPr>
              <w:t>Organizační rizika</w:t>
            </w:r>
          </w:p>
        </w:tc>
      </w:tr>
      <w:tr w:rsidR="00AE0AA0" w:rsidRPr="001B2C32" w:rsidTr="0014635F">
        <w:trPr>
          <w:trHeight w:val="390"/>
        </w:trPr>
        <w:tc>
          <w:tcPr>
            <w:tcW w:w="9180" w:type="dxa"/>
            <w:tcBorders>
              <w:top w:val="nil"/>
              <w:bottom w:val="nil"/>
              <w:right w:val="single" w:sz="8" w:space="0" w:color="C2C2C2" w:themeColor="text1" w:themeTint="40"/>
            </w:tcBorders>
          </w:tcPr>
          <w:p w:rsidR="00AE0AA0" w:rsidRPr="00F06D04" w:rsidRDefault="00AE0AA0" w:rsidP="005972D4">
            <w:pPr>
              <w:spacing w:before="60" w:beforeAutospacing="0" w:after="60" w:afterAutospacing="0"/>
              <w:jc w:val="left"/>
              <w:rPr>
                <w:b/>
                <w:sz w:val="20"/>
              </w:rPr>
            </w:pPr>
            <w:r w:rsidRPr="009433A6">
              <w:rPr>
                <w:sz w:val="20"/>
              </w:rPr>
              <w:t xml:space="preserve">Vysoký počet zapojených organizací, který klade zcela nové </w:t>
            </w:r>
            <w:r w:rsidRPr="0023716C">
              <w:rPr>
                <w:b/>
                <w:sz w:val="20"/>
              </w:rPr>
              <w:t>nároky na koordinaci přípravy zadávacího řízení</w:t>
            </w:r>
            <w:r w:rsidR="009350E7" w:rsidRPr="0023716C">
              <w:rPr>
                <w:b/>
                <w:sz w:val="20"/>
              </w:rPr>
              <w:t xml:space="preserve"> a následného plnění</w:t>
            </w:r>
            <w:r w:rsidR="009350E7">
              <w:rPr>
                <w:sz w:val="20"/>
              </w:rPr>
              <w:t xml:space="preserve"> (riziko příliš dlouhé </w:t>
            </w:r>
            <w:r w:rsidR="0023716C">
              <w:rPr>
                <w:sz w:val="20"/>
              </w:rPr>
              <w:t xml:space="preserve">a administrativně zatěžující </w:t>
            </w:r>
            <w:r w:rsidR="009350E7">
              <w:rPr>
                <w:sz w:val="20"/>
              </w:rPr>
              <w:t>přípravné fáze či dlouhých a málo flexibilních procesů spojených s poskytováním plnění)</w:t>
            </w:r>
          </w:p>
        </w:tc>
      </w:tr>
      <w:tr w:rsidR="00AE0AA0" w:rsidRPr="001B2C32" w:rsidTr="0014635F">
        <w:trPr>
          <w:cnfStyle w:val="000000100000" w:firstRow="0" w:lastRow="0" w:firstColumn="0" w:lastColumn="0" w:oddVBand="0" w:evenVBand="0" w:oddHBand="1" w:evenHBand="0" w:firstRowFirstColumn="0" w:firstRowLastColumn="0" w:lastRowFirstColumn="0" w:lastRowLastColumn="0"/>
          <w:trHeight w:val="390"/>
        </w:trPr>
        <w:tc>
          <w:tcPr>
            <w:tcW w:w="9180" w:type="dxa"/>
            <w:tcBorders>
              <w:top w:val="nil"/>
              <w:bottom w:val="nil"/>
              <w:right w:val="single" w:sz="8" w:space="0" w:color="C2C2C2" w:themeColor="text1" w:themeTint="40"/>
            </w:tcBorders>
          </w:tcPr>
          <w:p w:rsidR="00AE0AA0" w:rsidRPr="00F06D04" w:rsidRDefault="00DD4AB1" w:rsidP="005972D4">
            <w:pPr>
              <w:spacing w:before="60" w:beforeAutospacing="0" w:after="60" w:afterAutospacing="0"/>
              <w:jc w:val="left"/>
              <w:rPr>
                <w:sz w:val="20"/>
              </w:rPr>
            </w:pPr>
            <w:r>
              <w:rPr>
                <w:sz w:val="20"/>
              </w:rPr>
              <w:t xml:space="preserve">Zvýšené </w:t>
            </w:r>
            <w:r w:rsidRPr="00DD4AB1">
              <w:rPr>
                <w:b/>
                <w:sz w:val="20"/>
              </w:rPr>
              <w:t>nároky na technickou specifikaci a kvalitu zadávací dokumentace</w:t>
            </w:r>
            <w:r>
              <w:rPr>
                <w:sz w:val="20"/>
              </w:rPr>
              <w:t xml:space="preserve"> (z</w:t>
            </w:r>
            <w:r w:rsidR="00AE0AA0">
              <w:rPr>
                <w:sz w:val="20"/>
              </w:rPr>
              <w:t xml:space="preserve">výšené </w:t>
            </w:r>
            <w:r w:rsidR="009350E7" w:rsidRPr="00DD4AB1">
              <w:rPr>
                <w:sz w:val="20"/>
              </w:rPr>
              <w:t xml:space="preserve">riziko </w:t>
            </w:r>
            <w:r w:rsidR="0023716C" w:rsidRPr="00DD4AB1">
              <w:rPr>
                <w:sz w:val="20"/>
              </w:rPr>
              <w:t>námitek proti postupu zadavatele</w:t>
            </w:r>
            <w:r w:rsidR="0023716C" w:rsidRPr="0023716C">
              <w:rPr>
                <w:b/>
                <w:sz w:val="20"/>
              </w:rPr>
              <w:t xml:space="preserve"> </w:t>
            </w:r>
            <w:r w:rsidR="0023716C">
              <w:rPr>
                <w:sz w:val="20"/>
              </w:rPr>
              <w:t>s ohledem na předpokládané významné finanční objem</w:t>
            </w:r>
            <w:r>
              <w:rPr>
                <w:sz w:val="20"/>
              </w:rPr>
              <w:t xml:space="preserve">y centrálních veřejných zakázek, </w:t>
            </w:r>
            <w:r w:rsidR="009350E7">
              <w:rPr>
                <w:sz w:val="20"/>
              </w:rPr>
              <w:t xml:space="preserve">riziko </w:t>
            </w:r>
            <w:r w:rsidR="009350E7" w:rsidRPr="009433A6">
              <w:rPr>
                <w:sz w:val="20"/>
              </w:rPr>
              <w:t>nepřiměřeně dlouhého zadávacího řízení</w:t>
            </w:r>
            <w:r w:rsidR="009350E7">
              <w:rPr>
                <w:sz w:val="20"/>
              </w:rPr>
              <w:t>)</w:t>
            </w:r>
          </w:p>
        </w:tc>
      </w:tr>
      <w:tr w:rsidR="009350E7" w:rsidRPr="001B2C32" w:rsidTr="0014635F">
        <w:trPr>
          <w:trHeight w:val="367"/>
        </w:trPr>
        <w:tc>
          <w:tcPr>
            <w:tcW w:w="9180" w:type="dxa"/>
            <w:tcBorders>
              <w:top w:val="nil"/>
              <w:bottom w:val="nil"/>
              <w:right w:val="nil"/>
            </w:tcBorders>
          </w:tcPr>
          <w:p w:rsidR="009350E7" w:rsidRPr="00F06D04" w:rsidRDefault="009350E7" w:rsidP="005972D4">
            <w:pPr>
              <w:spacing w:before="60" w:beforeAutospacing="0" w:after="60" w:afterAutospacing="0"/>
              <w:jc w:val="left"/>
              <w:rPr>
                <w:sz w:val="20"/>
              </w:rPr>
            </w:pPr>
            <w:r>
              <w:rPr>
                <w:sz w:val="20"/>
              </w:rPr>
              <w:t xml:space="preserve">Zvýšené </w:t>
            </w:r>
            <w:r w:rsidRPr="0023716C">
              <w:rPr>
                <w:b/>
                <w:sz w:val="20"/>
              </w:rPr>
              <w:t>nároky na plánování nákupu</w:t>
            </w:r>
            <w:r>
              <w:rPr>
                <w:sz w:val="20"/>
              </w:rPr>
              <w:t xml:space="preserve"> (nutnost plánovat a organizovat poptávku více dopředu a s větší mírou závaznosti)</w:t>
            </w:r>
          </w:p>
        </w:tc>
      </w:tr>
      <w:tr w:rsidR="00DD4AB1" w:rsidRPr="001B2C32" w:rsidTr="0014635F">
        <w:trPr>
          <w:cnfStyle w:val="000000100000" w:firstRow="0" w:lastRow="0" w:firstColumn="0" w:lastColumn="0" w:oddVBand="0" w:evenVBand="0" w:oddHBand="1" w:evenHBand="0" w:firstRowFirstColumn="0" w:firstRowLastColumn="0" w:lastRowFirstColumn="0" w:lastRowLastColumn="0"/>
          <w:trHeight w:val="367"/>
        </w:trPr>
        <w:tc>
          <w:tcPr>
            <w:tcW w:w="9180" w:type="dxa"/>
            <w:tcBorders>
              <w:top w:val="nil"/>
              <w:bottom w:val="nil"/>
              <w:right w:val="single" w:sz="8" w:space="0" w:color="C2C2C2" w:themeColor="text1" w:themeTint="40"/>
            </w:tcBorders>
          </w:tcPr>
          <w:p w:rsidR="00DD4AB1" w:rsidRPr="009433A6" w:rsidRDefault="00552F8C" w:rsidP="005972D4">
            <w:pPr>
              <w:spacing w:before="60" w:beforeAutospacing="0" w:after="60" w:afterAutospacing="0"/>
              <w:jc w:val="left"/>
              <w:rPr>
                <w:sz w:val="20"/>
              </w:rPr>
            </w:pPr>
            <w:r w:rsidRPr="009433A6">
              <w:rPr>
                <w:sz w:val="20"/>
              </w:rPr>
              <w:lastRenderedPageBreak/>
              <w:t xml:space="preserve">Potřeba dodržet </w:t>
            </w:r>
            <w:r>
              <w:rPr>
                <w:sz w:val="20"/>
              </w:rPr>
              <w:t xml:space="preserve">v rámci zadávacího řízení </w:t>
            </w:r>
            <w:r w:rsidRPr="0023716C">
              <w:rPr>
                <w:b/>
                <w:sz w:val="20"/>
              </w:rPr>
              <w:t>podmínky čerpání různých poskytovatelů dotací</w:t>
            </w:r>
            <w:r>
              <w:rPr>
                <w:sz w:val="20"/>
              </w:rPr>
              <w:t>, které se mohou lišit</w:t>
            </w:r>
          </w:p>
        </w:tc>
      </w:tr>
      <w:tr w:rsidR="009350E7" w:rsidRPr="001B2C32" w:rsidTr="0014635F">
        <w:trPr>
          <w:trHeight w:val="367"/>
        </w:trPr>
        <w:tc>
          <w:tcPr>
            <w:tcW w:w="9180" w:type="dxa"/>
            <w:tcBorders>
              <w:top w:val="nil"/>
              <w:bottom w:val="nil"/>
              <w:right w:val="single" w:sz="8" w:space="0" w:color="C2C2C2" w:themeColor="text1" w:themeTint="40"/>
            </w:tcBorders>
          </w:tcPr>
          <w:p w:rsidR="009350E7" w:rsidRPr="00F06D04" w:rsidRDefault="00552F8C" w:rsidP="005972D4">
            <w:pPr>
              <w:spacing w:before="60" w:beforeAutospacing="0" w:after="60" w:afterAutospacing="0"/>
              <w:jc w:val="left"/>
              <w:rPr>
                <w:b/>
                <w:sz w:val="20"/>
              </w:rPr>
            </w:pPr>
            <w:r w:rsidRPr="00552F8C">
              <w:rPr>
                <w:b/>
                <w:sz w:val="20"/>
              </w:rPr>
              <w:t>Obcházení stanovených pravidel</w:t>
            </w:r>
            <w:r>
              <w:rPr>
                <w:sz w:val="20"/>
              </w:rPr>
              <w:t xml:space="preserve"> jednotlivými resorty formou záměrného nákupu komodit s jinou než standardně definovanou specifikací (nadměrná argumentace specifiky jednotlivých resortů)</w:t>
            </w:r>
          </w:p>
        </w:tc>
      </w:tr>
      <w:tr w:rsidR="009433A6" w:rsidRPr="009433A6" w:rsidTr="005972D4">
        <w:trPr>
          <w:cnfStyle w:val="000000100000" w:firstRow="0" w:lastRow="0" w:firstColumn="0" w:lastColumn="0" w:oddVBand="0" w:evenVBand="0" w:oddHBand="1" w:evenHBand="0" w:firstRowFirstColumn="0" w:firstRowLastColumn="0" w:lastRowFirstColumn="0" w:lastRowLastColumn="0"/>
          <w:trHeight w:val="567"/>
        </w:trPr>
        <w:tc>
          <w:tcPr>
            <w:tcW w:w="9180" w:type="dxa"/>
            <w:tcBorders>
              <w:top w:val="nil"/>
              <w:bottom w:val="nil"/>
              <w:right w:val="nil"/>
            </w:tcBorders>
            <w:shd w:val="clear" w:color="auto" w:fill="D5F1FF" w:themeFill="accent2" w:themeFillTint="33"/>
          </w:tcPr>
          <w:p w:rsidR="009433A6" w:rsidRPr="009433A6" w:rsidRDefault="009433A6" w:rsidP="005972D4">
            <w:pPr>
              <w:spacing w:before="60" w:beforeAutospacing="0" w:after="60" w:afterAutospacing="0"/>
              <w:jc w:val="left"/>
              <w:rPr>
                <w:b/>
                <w:sz w:val="20"/>
              </w:rPr>
            </w:pPr>
            <w:r w:rsidRPr="009433A6">
              <w:rPr>
                <w:b/>
                <w:sz w:val="20"/>
              </w:rPr>
              <w:t>Komoditní rizika</w:t>
            </w:r>
          </w:p>
        </w:tc>
      </w:tr>
      <w:tr w:rsidR="00AE0AA0" w:rsidRPr="001B2C32" w:rsidTr="0014635F">
        <w:trPr>
          <w:trHeight w:val="367"/>
        </w:trPr>
        <w:tc>
          <w:tcPr>
            <w:tcW w:w="9180" w:type="dxa"/>
            <w:tcBorders>
              <w:top w:val="nil"/>
              <w:bottom w:val="nil"/>
              <w:right w:val="single" w:sz="8" w:space="0" w:color="C2C2C2" w:themeColor="text1" w:themeTint="40"/>
            </w:tcBorders>
          </w:tcPr>
          <w:p w:rsidR="00AE0AA0" w:rsidRPr="00691873" w:rsidRDefault="00AE0AA0" w:rsidP="005972D4">
            <w:pPr>
              <w:spacing w:before="60" w:beforeAutospacing="0" w:after="60" w:afterAutospacing="0"/>
              <w:jc w:val="left"/>
            </w:pPr>
            <w:r w:rsidRPr="0023716C">
              <w:rPr>
                <w:b/>
                <w:sz w:val="20"/>
              </w:rPr>
              <w:t xml:space="preserve">Nedostatečná konsolidace nákupu </w:t>
            </w:r>
            <w:r w:rsidRPr="009433A6">
              <w:rPr>
                <w:sz w:val="20"/>
              </w:rPr>
              <w:t xml:space="preserve">na úrovni </w:t>
            </w:r>
            <w:r w:rsidR="00F97374">
              <w:rPr>
                <w:sz w:val="20"/>
              </w:rPr>
              <w:t xml:space="preserve">řady </w:t>
            </w:r>
            <w:r w:rsidRPr="009433A6">
              <w:rPr>
                <w:sz w:val="20"/>
              </w:rPr>
              <w:t>resortů (</w:t>
            </w:r>
            <w:r w:rsidR="00F97374">
              <w:rPr>
                <w:sz w:val="20"/>
              </w:rPr>
              <w:t xml:space="preserve">i přes usnesení vlády </w:t>
            </w:r>
            <w:r w:rsidR="00F97374">
              <w:rPr>
                <w:lang w:eastAsia="cs-CZ"/>
              </w:rPr>
              <w:t xml:space="preserve">č. 563 ze dne 20. července 2011 </w:t>
            </w:r>
            <w:r w:rsidR="00F97374">
              <w:rPr>
                <w:sz w:val="20"/>
              </w:rPr>
              <w:t>dosud chybějí u řady komodit</w:t>
            </w:r>
            <w:r w:rsidRPr="009433A6">
              <w:rPr>
                <w:sz w:val="20"/>
              </w:rPr>
              <w:t xml:space="preserve"> standardy</w:t>
            </w:r>
            <w:r w:rsidR="00F97374">
              <w:rPr>
                <w:sz w:val="20"/>
              </w:rPr>
              <w:t xml:space="preserve"> na úrovni resortů, resortní systémy centralizovaného zadávání fungují v plném rozsahu pouze v některých resortech</w:t>
            </w:r>
            <w:r w:rsidRPr="009433A6">
              <w:rPr>
                <w:sz w:val="20"/>
              </w:rPr>
              <w:t>)</w:t>
            </w:r>
          </w:p>
        </w:tc>
      </w:tr>
      <w:tr w:rsidR="00AE0AA0" w:rsidRPr="001B2C32" w:rsidTr="0014635F">
        <w:trPr>
          <w:cnfStyle w:val="000000100000" w:firstRow="0" w:lastRow="0" w:firstColumn="0" w:lastColumn="0" w:oddVBand="0" w:evenVBand="0" w:oddHBand="1" w:evenHBand="0" w:firstRowFirstColumn="0" w:firstRowLastColumn="0" w:lastRowFirstColumn="0" w:lastRowLastColumn="0"/>
          <w:trHeight w:val="367"/>
        </w:trPr>
        <w:tc>
          <w:tcPr>
            <w:tcW w:w="9180" w:type="dxa"/>
            <w:tcBorders>
              <w:top w:val="nil"/>
              <w:bottom w:val="nil"/>
              <w:right w:val="single" w:sz="8" w:space="0" w:color="C2C2C2" w:themeColor="text1" w:themeTint="40"/>
            </w:tcBorders>
          </w:tcPr>
          <w:p w:rsidR="00AE0AA0" w:rsidRPr="00691873" w:rsidRDefault="0023716C" w:rsidP="005972D4">
            <w:pPr>
              <w:spacing w:before="60" w:beforeAutospacing="0" w:after="60" w:afterAutospacing="0"/>
              <w:jc w:val="left"/>
            </w:pPr>
            <w:r w:rsidRPr="0023716C">
              <w:rPr>
                <w:sz w:val="20"/>
              </w:rPr>
              <w:t xml:space="preserve">Značně </w:t>
            </w:r>
            <w:r w:rsidRPr="0023716C">
              <w:rPr>
                <w:b/>
                <w:sz w:val="20"/>
              </w:rPr>
              <w:t>rozdílná komoditní praxe</w:t>
            </w:r>
            <w:r w:rsidRPr="0023716C">
              <w:rPr>
                <w:sz w:val="20"/>
              </w:rPr>
              <w:t xml:space="preserve"> v rámci jednotlivých resortů (obtížná definice společného technického standardu komodit)</w:t>
            </w:r>
          </w:p>
        </w:tc>
      </w:tr>
      <w:tr w:rsidR="009433A6" w:rsidRPr="009433A6" w:rsidTr="005972D4">
        <w:trPr>
          <w:trHeight w:val="567"/>
        </w:trPr>
        <w:tc>
          <w:tcPr>
            <w:tcW w:w="9180" w:type="dxa"/>
            <w:tcBorders>
              <w:top w:val="nil"/>
              <w:bottom w:val="nil"/>
              <w:right w:val="single" w:sz="8" w:space="0" w:color="C2C2C2" w:themeColor="text1" w:themeTint="40"/>
            </w:tcBorders>
            <w:shd w:val="clear" w:color="auto" w:fill="D5F1FF" w:themeFill="accent2" w:themeFillTint="33"/>
          </w:tcPr>
          <w:p w:rsidR="009433A6" w:rsidRPr="009433A6" w:rsidRDefault="009433A6" w:rsidP="005972D4">
            <w:pPr>
              <w:spacing w:before="60" w:beforeAutospacing="0" w:after="60" w:afterAutospacing="0"/>
              <w:jc w:val="left"/>
              <w:rPr>
                <w:b/>
                <w:sz w:val="20"/>
              </w:rPr>
            </w:pPr>
            <w:r w:rsidRPr="009433A6">
              <w:rPr>
                <w:b/>
                <w:sz w:val="20"/>
              </w:rPr>
              <w:t>Tržní rizika</w:t>
            </w:r>
          </w:p>
        </w:tc>
      </w:tr>
      <w:tr w:rsidR="00AE0AA0" w:rsidRPr="001B2C32" w:rsidTr="0014635F">
        <w:trPr>
          <w:cnfStyle w:val="000000100000" w:firstRow="0" w:lastRow="0" w:firstColumn="0" w:lastColumn="0" w:oddVBand="0" w:evenVBand="0" w:oddHBand="1" w:evenHBand="0" w:firstRowFirstColumn="0" w:firstRowLastColumn="0" w:lastRowFirstColumn="0" w:lastRowLastColumn="0"/>
          <w:trHeight w:val="367"/>
        </w:trPr>
        <w:tc>
          <w:tcPr>
            <w:tcW w:w="9180" w:type="dxa"/>
            <w:tcBorders>
              <w:top w:val="nil"/>
              <w:bottom w:val="nil"/>
              <w:right w:val="single" w:sz="8" w:space="0" w:color="C2C2C2" w:themeColor="text1" w:themeTint="40"/>
            </w:tcBorders>
            <w:shd w:val="clear" w:color="auto" w:fill="FFFFFF" w:themeFill="background1"/>
          </w:tcPr>
          <w:p w:rsidR="00AE0AA0" w:rsidRPr="00FE51B4" w:rsidRDefault="00AE0AA0" w:rsidP="005972D4">
            <w:pPr>
              <w:spacing w:before="60" w:beforeAutospacing="0" w:after="60" w:afterAutospacing="0"/>
              <w:jc w:val="left"/>
              <w:rPr>
                <w:b/>
                <w:sz w:val="20"/>
              </w:rPr>
            </w:pPr>
            <w:r w:rsidRPr="0023716C">
              <w:rPr>
                <w:b/>
                <w:sz w:val="20"/>
              </w:rPr>
              <w:t xml:space="preserve">Vysoká </w:t>
            </w:r>
            <w:r w:rsidR="0023716C" w:rsidRPr="0023716C">
              <w:rPr>
                <w:b/>
                <w:sz w:val="20"/>
              </w:rPr>
              <w:t xml:space="preserve">míra </w:t>
            </w:r>
            <w:r w:rsidRPr="0023716C">
              <w:rPr>
                <w:b/>
                <w:sz w:val="20"/>
              </w:rPr>
              <w:t>koncentrace dodavatelů</w:t>
            </w:r>
            <w:r w:rsidR="0023716C">
              <w:rPr>
                <w:sz w:val="20"/>
              </w:rPr>
              <w:t>, vytvoření závislosti na omezeném počtu velkých dodavatelů</w:t>
            </w:r>
          </w:p>
        </w:tc>
      </w:tr>
      <w:tr w:rsidR="00AE0AA0" w:rsidRPr="001B2C32" w:rsidTr="0014635F">
        <w:trPr>
          <w:trHeight w:val="412"/>
        </w:trPr>
        <w:tc>
          <w:tcPr>
            <w:tcW w:w="9180" w:type="dxa"/>
            <w:tcBorders>
              <w:top w:val="nil"/>
              <w:bottom w:val="nil"/>
              <w:right w:val="single" w:sz="8" w:space="0" w:color="C2C2C2" w:themeColor="text1" w:themeTint="40"/>
            </w:tcBorders>
            <w:shd w:val="clear" w:color="auto" w:fill="F2F2F2" w:themeFill="background1" w:themeFillShade="F2"/>
          </w:tcPr>
          <w:p w:rsidR="00AE0AA0" w:rsidRPr="00F97374" w:rsidRDefault="00F97374" w:rsidP="005972D4">
            <w:pPr>
              <w:spacing w:before="60" w:beforeAutospacing="0" w:after="60" w:afterAutospacing="0"/>
              <w:jc w:val="left"/>
              <w:rPr>
                <w:sz w:val="20"/>
              </w:rPr>
            </w:pPr>
            <w:r w:rsidRPr="0023716C">
              <w:rPr>
                <w:b/>
                <w:sz w:val="20"/>
              </w:rPr>
              <w:t>Omezení přístupu malých a středních podniků</w:t>
            </w:r>
            <w:r w:rsidRPr="00F97374">
              <w:rPr>
                <w:sz w:val="20"/>
              </w:rPr>
              <w:t xml:space="preserve"> k centrálním veřejným zakázkám</w:t>
            </w:r>
          </w:p>
        </w:tc>
      </w:tr>
      <w:tr w:rsidR="0023716C" w:rsidRPr="001B2C32" w:rsidTr="0014635F">
        <w:trPr>
          <w:cnfStyle w:val="000000100000" w:firstRow="0" w:lastRow="0" w:firstColumn="0" w:lastColumn="0" w:oddVBand="0" w:evenVBand="0" w:oddHBand="1" w:evenHBand="0" w:firstRowFirstColumn="0" w:firstRowLastColumn="0" w:lastRowFirstColumn="0" w:lastRowLastColumn="0"/>
          <w:trHeight w:val="412"/>
        </w:trPr>
        <w:tc>
          <w:tcPr>
            <w:tcW w:w="9180" w:type="dxa"/>
            <w:tcBorders>
              <w:top w:val="nil"/>
              <w:bottom w:val="single" w:sz="24" w:space="0" w:color="2DB9FF" w:themeColor="accent2"/>
              <w:right w:val="single" w:sz="8" w:space="0" w:color="C2C2C2" w:themeColor="text1" w:themeTint="40"/>
            </w:tcBorders>
            <w:shd w:val="clear" w:color="auto" w:fill="FFFFFF" w:themeFill="background1"/>
          </w:tcPr>
          <w:p w:rsidR="0023716C" w:rsidRPr="00F97374" w:rsidRDefault="0023716C" w:rsidP="005972D4">
            <w:pPr>
              <w:spacing w:before="60" w:beforeAutospacing="0" w:after="60" w:afterAutospacing="0"/>
              <w:jc w:val="left"/>
              <w:rPr>
                <w:sz w:val="20"/>
              </w:rPr>
            </w:pPr>
            <w:r>
              <w:rPr>
                <w:sz w:val="20"/>
              </w:rPr>
              <w:t>Negativní finanční dopady v případě</w:t>
            </w:r>
            <w:r w:rsidRPr="009433A6">
              <w:rPr>
                <w:sz w:val="20"/>
              </w:rPr>
              <w:t xml:space="preserve"> nepříznivého výsledku zadávacího řízení</w:t>
            </w:r>
            <w:r>
              <w:rPr>
                <w:sz w:val="20"/>
              </w:rPr>
              <w:t xml:space="preserve"> (</w:t>
            </w:r>
            <w:r w:rsidRPr="0023716C">
              <w:rPr>
                <w:b/>
                <w:sz w:val="20"/>
              </w:rPr>
              <w:t>nedosažení úspor proti stávajícímu stavu</w:t>
            </w:r>
            <w:r>
              <w:rPr>
                <w:sz w:val="20"/>
              </w:rPr>
              <w:t>)</w:t>
            </w:r>
          </w:p>
        </w:tc>
      </w:tr>
    </w:tbl>
    <w:p w:rsidR="0049435A" w:rsidRDefault="0049435A" w:rsidP="0014635F">
      <w:pPr>
        <w:spacing w:before="120"/>
        <w:rPr>
          <w:lang w:eastAsia="cs-CZ"/>
        </w:rPr>
      </w:pPr>
      <w:r>
        <w:rPr>
          <w:lang w:eastAsia="cs-CZ"/>
        </w:rPr>
        <w:t xml:space="preserve">Výše uvedená rizika byla zohledněna jak v návrhu postupu pro zavedení centrálního nákupu státu (zvolený užší okruh komodit, </w:t>
      </w:r>
      <w:r w:rsidR="00D24226">
        <w:rPr>
          <w:lang w:eastAsia="cs-CZ"/>
        </w:rPr>
        <w:t xml:space="preserve">důraz na meziresortní standardizaci, která musí centrálnímu nákupu státu předcházet, </w:t>
      </w:r>
      <w:r>
        <w:rPr>
          <w:lang w:eastAsia="cs-CZ"/>
        </w:rPr>
        <w:t>postupný náběh centr</w:t>
      </w:r>
      <w:r w:rsidR="00D24226">
        <w:rPr>
          <w:lang w:eastAsia="cs-CZ"/>
        </w:rPr>
        <w:t>alizovaného</w:t>
      </w:r>
      <w:r>
        <w:rPr>
          <w:lang w:eastAsia="cs-CZ"/>
        </w:rPr>
        <w:t xml:space="preserve"> zadávání daný harmonogramem připravovaných centrálních zadávacích řízení na roky 2016-2020), tak v návrhu pravidel </w:t>
      </w:r>
      <w:r w:rsidRPr="0049435A">
        <w:rPr>
          <w:lang w:eastAsia="cs-CZ"/>
        </w:rPr>
        <w:t>centrálního nákupu státu realizovaného Ministerstvem financí ČR jako centrálním zadavatelem státu</w:t>
      </w:r>
      <w:r>
        <w:rPr>
          <w:lang w:eastAsia="cs-CZ"/>
        </w:rPr>
        <w:t xml:space="preserve"> (</w:t>
      </w:r>
      <w:r w:rsidR="00AD25F7">
        <w:rPr>
          <w:lang w:eastAsia="cs-CZ"/>
        </w:rPr>
        <w:t>důraz na práci meziresortních standardizačních komisí a pracovních skupin ke konkrétním případům centralizovaného zadávání</w:t>
      </w:r>
      <w:r w:rsidR="0072383C">
        <w:rPr>
          <w:lang w:eastAsia="cs-CZ"/>
        </w:rPr>
        <w:t>, realizace smluvních vztahů na základě společně sjednaného rámce svým jménem a na svůj účet</w:t>
      </w:r>
      <w:r>
        <w:rPr>
          <w:lang w:eastAsia="cs-CZ"/>
        </w:rPr>
        <w:t>).</w:t>
      </w:r>
    </w:p>
    <w:p w:rsidR="0014635F" w:rsidRDefault="005972D4" w:rsidP="0014635F">
      <w:pPr>
        <w:rPr>
          <w:lang w:eastAsia="cs-CZ"/>
        </w:rPr>
      </w:pPr>
      <w:r>
        <w:rPr>
          <w:lang w:eastAsia="cs-CZ"/>
        </w:rPr>
        <w:t>V navrhovaném systému centrálního nákupu státu bude Ministerstvo financí p</w:t>
      </w:r>
      <w:r w:rsidR="0014635F">
        <w:rPr>
          <w:lang w:eastAsia="cs-CZ"/>
        </w:rPr>
        <w:t xml:space="preserve">ro komodity související s provozem ústředních orgánů státní správy a jejich podřízených organizací jednat s ostatními ústředními orgány státní správy, v jejichž čele stojí člen vlády, o stanovení závazného technického standardu. Tento standard bude </w:t>
      </w:r>
      <w:r w:rsidR="00FB6962">
        <w:rPr>
          <w:lang w:eastAsia="cs-CZ"/>
        </w:rPr>
        <w:t xml:space="preserve">následně </w:t>
      </w:r>
      <w:r w:rsidR="0014635F">
        <w:rPr>
          <w:lang w:eastAsia="cs-CZ"/>
        </w:rPr>
        <w:t>sloužit jako východisko pro zadávání v rámci stávajících resortních sy</w:t>
      </w:r>
      <w:r>
        <w:rPr>
          <w:lang w:eastAsia="cs-CZ"/>
        </w:rPr>
        <w:t xml:space="preserve">stémů centralizovaného zadávání, případně </w:t>
      </w:r>
      <w:r w:rsidR="0014635F">
        <w:rPr>
          <w:lang w:eastAsia="cs-CZ"/>
        </w:rPr>
        <w:t>i jako východisko pro společné centralizované zadávací řízení dle § 3, odst. 1 zákona č. 137/2006 Sb.</w:t>
      </w:r>
      <w:r w:rsidR="0014635F" w:rsidRPr="00B53CD6">
        <w:rPr>
          <w:lang w:eastAsia="cs-CZ"/>
        </w:rPr>
        <w:t>, o veřejných zakázkách</w:t>
      </w:r>
      <w:r w:rsidR="0014635F">
        <w:rPr>
          <w:lang w:eastAsia="cs-CZ"/>
        </w:rPr>
        <w:t>, pakliže se takový postup prokáže jako hospodárný a účelný</w:t>
      </w:r>
      <w:r w:rsidR="008E34B9" w:rsidRPr="008E34B9">
        <w:rPr>
          <w:lang w:eastAsia="cs-CZ"/>
        </w:rPr>
        <w:t xml:space="preserve"> </w:t>
      </w:r>
      <w:r w:rsidR="008E34B9">
        <w:rPr>
          <w:lang w:eastAsia="cs-CZ"/>
        </w:rPr>
        <w:t>a shodnou se na něm alespoň dva resorty</w:t>
      </w:r>
      <w:r w:rsidR="0014635F">
        <w:rPr>
          <w:lang w:eastAsia="cs-CZ"/>
        </w:rPr>
        <w:t xml:space="preserve">. </w:t>
      </w:r>
    </w:p>
    <w:p w:rsidR="0072383C" w:rsidRDefault="00AD25F7" w:rsidP="0072383C">
      <w:pPr>
        <w:rPr>
          <w:lang w:eastAsia="cs-CZ"/>
        </w:rPr>
      </w:pPr>
      <w:r>
        <w:rPr>
          <w:lang w:eastAsia="cs-CZ"/>
        </w:rPr>
        <w:t>C</w:t>
      </w:r>
      <w:r w:rsidR="0072383C">
        <w:rPr>
          <w:lang w:eastAsia="cs-CZ"/>
        </w:rPr>
        <w:t xml:space="preserve">entralizované zadávání </w:t>
      </w:r>
      <w:r>
        <w:rPr>
          <w:lang w:eastAsia="cs-CZ"/>
        </w:rPr>
        <w:t xml:space="preserve">bude </w:t>
      </w:r>
      <w:r w:rsidR="0072383C">
        <w:rPr>
          <w:lang w:eastAsia="cs-CZ"/>
        </w:rPr>
        <w:t xml:space="preserve">probíhat na základě písemné smlouvy, kterou před zahájením centralizovaného zadávání uzavře Ministerstvo financí jako centrální zadavatel s dalšími resorty a jejich podřízenými organizacemi jako pověřujícími zadavateli.  </w:t>
      </w:r>
    </w:p>
    <w:p w:rsidR="00531806" w:rsidRDefault="00B3597D" w:rsidP="005F2CF0">
      <w:pPr>
        <w:rPr>
          <w:lang w:eastAsia="cs-CZ"/>
        </w:rPr>
      </w:pPr>
      <w:r>
        <w:rPr>
          <w:lang w:eastAsia="cs-CZ"/>
        </w:rPr>
        <w:t>Další kroky v souvislosti s přípravou centrálního nákupu státu (</w:t>
      </w:r>
      <w:r w:rsidRPr="00B3597D">
        <w:rPr>
          <w:lang w:eastAsia="cs-CZ"/>
        </w:rPr>
        <w:t>technické řešení IT podpory centrálního nákupu státu</w:t>
      </w:r>
      <w:r>
        <w:rPr>
          <w:lang w:eastAsia="cs-CZ"/>
        </w:rPr>
        <w:t>,</w:t>
      </w:r>
      <w:r w:rsidRPr="00B3597D">
        <w:rPr>
          <w:lang w:eastAsia="cs-CZ"/>
        </w:rPr>
        <w:t xml:space="preserve"> harmonogram centrálně zadávaných veřejných zakázek pro období 2016-2020</w:t>
      </w:r>
      <w:r>
        <w:rPr>
          <w:lang w:eastAsia="cs-CZ"/>
        </w:rPr>
        <w:t>, příprava standardizace</w:t>
      </w:r>
      <w:r w:rsidRPr="00B3597D">
        <w:t xml:space="preserve"> </w:t>
      </w:r>
      <w:r>
        <w:t xml:space="preserve">a </w:t>
      </w:r>
      <w:r w:rsidRPr="00B3597D">
        <w:rPr>
          <w:lang w:eastAsia="cs-CZ"/>
        </w:rPr>
        <w:t>analýz</w:t>
      </w:r>
      <w:r>
        <w:rPr>
          <w:lang w:eastAsia="cs-CZ"/>
        </w:rPr>
        <w:t>a</w:t>
      </w:r>
      <w:r w:rsidRPr="00B3597D">
        <w:rPr>
          <w:lang w:eastAsia="cs-CZ"/>
        </w:rPr>
        <w:t xml:space="preserve"> potřeb</w:t>
      </w:r>
      <w:r>
        <w:rPr>
          <w:lang w:eastAsia="cs-CZ"/>
        </w:rPr>
        <w:t>) budou realizovány v průběhu roku 2015 v souladu s harmonogramem stanoveným usnesením č. 924 ze dne 12. listopadu 2014.</w:t>
      </w:r>
    </w:p>
    <w:p w:rsidR="00E8418A" w:rsidRDefault="00E8418A" w:rsidP="005F2CF0">
      <w:pPr>
        <w:rPr>
          <w:lang w:eastAsia="cs-CZ"/>
        </w:rPr>
      </w:pPr>
      <w:r>
        <w:rPr>
          <w:lang w:eastAsia="cs-CZ"/>
        </w:rPr>
        <w:t xml:space="preserve">Součástí </w:t>
      </w:r>
      <w:r w:rsidRPr="00B3597D">
        <w:rPr>
          <w:lang w:eastAsia="cs-CZ"/>
        </w:rPr>
        <w:t>harmonogram</w:t>
      </w:r>
      <w:r>
        <w:rPr>
          <w:lang w:eastAsia="cs-CZ"/>
        </w:rPr>
        <w:t>u</w:t>
      </w:r>
      <w:r w:rsidRPr="00B3597D">
        <w:rPr>
          <w:lang w:eastAsia="cs-CZ"/>
        </w:rPr>
        <w:t xml:space="preserve"> centrálně zadávaných veřejných zakázek pro období 2016-2020</w:t>
      </w:r>
      <w:r>
        <w:rPr>
          <w:lang w:eastAsia="cs-CZ"/>
        </w:rPr>
        <w:t xml:space="preserve"> bude pilotní ozkoušení systému centrálního nákupu státu na jedné vybrané komoditě, která bude zvolena na základě práce meziresortní</w:t>
      </w:r>
      <w:r w:rsidR="00C21920">
        <w:rPr>
          <w:lang w:eastAsia="cs-CZ"/>
        </w:rPr>
        <w:t>ch</w:t>
      </w:r>
      <w:r>
        <w:rPr>
          <w:lang w:eastAsia="cs-CZ"/>
        </w:rPr>
        <w:t xml:space="preserve"> standardizačních skupin</w:t>
      </w:r>
      <w:r w:rsidR="00C21920">
        <w:rPr>
          <w:lang w:eastAsia="cs-CZ"/>
        </w:rPr>
        <w:t xml:space="preserve"> za účasti všech resortů</w:t>
      </w:r>
      <w:r>
        <w:rPr>
          <w:lang w:eastAsia="cs-CZ"/>
        </w:rPr>
        <w:t>.</w:t>
      </w:r>
      <w:r w:rsidR="00C21920">
        <w:rPr>
          <w:lang w:eastAsia="cs-CZ"/>
        </w:rPr>
        <w:t xml:space="preserve"> </w:t>
      </w:r>
      <w:r>
        <w:rPr>
          <w:lang w:eastAsia="cs-CZ"/>
        </w:rPr>
        <w:t xml:space="preserve"> </w:t>
      </w:r>
    </w:p>
    <w:p w:rsidR="00EF5AD9" w:rsidRPr="00EF5AD9" w:rsidRDefault="00EF5AD9" w:rsidP="00EF5AD9">
      <w:pPr>
        <w:spacing w:before="120"/>
        <w:rPr>
          <w:b/>
          <w:lang w:eastAsia="cs-CZ"/>
        </w:rPr>
      </w:pPr>
      <w:r w:rsidRPr="00EF5AD9">
        <w:rPr>
          <w:b/>
          <w:lang w:eastAsia="cs-CZ"/>
        </w:rPr>
        <w:lastRenderedPageBreak/>
        <w:t xml:space="preserve">Organizační a personální zajištění centrálního nákupu státu a </w:t>
      </w:r>
      <w:r>
        <w:rPr>
          <w:b/>
          <w:lang w:eastAsia="cs-CZ"/>
        </w:rPr>
        <w:t>zhodnocení</w:t>
      </w:r>
      <w:r w:rsidRPr="00EF5AD9">
        <w:rPr>
          <w:b/>
          <w:lang w:eastAsia="cs-CZ"/>
        </w:rPr>
        <w:t xml:space="preserve"> finančních dopadů zavedení centrálního nákupu státu</w:t>
      </w:r>
    </w:p>
    <w:p w:rsidR="00EF5AD9" w:rsidRDefault="00EF5AD9" w:rsidP="00EF5AD9">
      <w:pPr>
        <w:spacing w:before="120"/>
        <w:rPr>
          <w:lang w:eastAsia="cs-CZ"/>
        </w:rPr>
      </w:pPr>
      <w:r>
        <w:rPr>
          <w:lang w:eastAsia="cs-CZ"/>
        </w:rPr>
        <w:t xml:space="preserve">Celkové související navýšení personálních nákladů se předpokládá ve výši 2 000 000,- Kč pro rok 2016 v rámci Ministerstva financí, kde by mělo dojít k navýšení systemizace o dvě funkční místa. Toto navýšení zdrojů na výkon agendy centrálního nákupu státu bude kryto v rámci kapitoly s předpokladem úspor v příslušných oblastech standardizace a centrálního nákupu. V tříletém rozpočtovém výhledu se předpokládá dosažení úspory v rámci výdajů státního rozpočtu na centrálně standardizované komodity. </w:t>
      </w:r>
    </w:p>
    <w:p w:rsidR="00EF5AD9" w:rsidRPr="00A017DF" w:rsidRDefault="00EF5AD9" w:rsidP="00EF5AD9">
      <w:pPr>
        <w:spacing w:before="120"/>
        <w:rPr>
          <w:lang w:eastAsia="cs-CZ"/>
        </w:rPr>
      </w:pPr>
      <w:r>
        <w:rPr>
          <w:lang w:eastAsia="cs-CZ"/>
        </w:rPr>
        <w:t>Jak bylo výše uvedeno, p</w:t>
      </w:r>
      <w:r w:rsidRPr="006B62C3">
        <w:rPr>
          <w:noProof/>
          <w:lang w:eastAsia="cs-CZ"/>
        </w:rPr>
        <w:t xml:space="preserve">ři aproximaci </w:t>
      </w:r>
      <w:r>
        <w:rPr>
          <w:noProof/>
          <w:lang w:eastAsia="cs-CZ"/>
        </w:rPr>
        <w:t xml:space="preserve">komoditní analýzy </w:t>
      </w:r>
      <w:r w:rsidRPr="006B62C3">
        <w:rPr>
          <w:noProof/>
          <w:lang w:eastAsia="cs-CZ"/>
        </w:rPr>
        <w:t xml:space="preserve">na všechny </w:t>
      </w:r>
      <w:r w:rsidRPr="006B62C3">
        <w:rPr>
          <w:lang w:eastAsia="cs-CZ"/>
        </w:rPr>
        <w:t>ústřední organizační složky státu a jeji</w:t>
      </w:r>
      <w:r>
        <w:rPr>
          <w:lang w:eastAsia="cs-CZ"/>
        </w:rPr>
        <w:t xml:space="preserve">ch podřízené organizace </w:t>
      </w:r>
      <w:r w:rsidRPr="00A017DF">
        <w:rPr>
          <w:lang w:eastAsia="cs-CZ"/>
        </w:rPr>
        <w:t xml:space="preserve">lze předpokládat celkový potenciál finančního objemu těchto komodit na úrovni ústřední státní správy </w:t>
      </w:r>
      <w:r w:rsidR="00DA47E6">
        <w:rPr>
          <w:lang w:eastAsia="cs-CZ"/>
        </w:rPr>
        <w:t>12,9</w:t>
      </w:r>
      <w:r w:rsidRPr="00A017DF">
        <w:rPr>
          <w:lang w:eastAsia="cs-CZ"/>
        </w:rPr>
        <w:t xml:space="preserve"> mld. Kč.</w:t>
      </w:r>
      <w:r>
        <w:rPr>
          <w:lang w:eastAsia="cs-CZ"/>
        </w:rPr>
        <w:t xml:space="preserve"> Celkový odhad finanční úspory se pohybuje v řádu jednotek až desítek procent z této částky – konkrétní finanční úspora bude výslednicí mnoha proměnných (situace na trhu konkrétní komoditní položky, situace na trhu dodavatelů, výsledná standardizace, procesní narovnání jako výsledek standardizačních aktivit, úspora vyplývající ze snížení spotřeby v důsledku porovnání objemů spotřeby, a zejména úspora vyplývající ze samotné centralizace nákupu v konkrétní komoditní položce s ohledem na poptávaný objem této položky.) Tento odhad nemůže být výsledkem žádné seriózní analýzy, jedná se o předpoklad. Předpokládaná úspora však v každém případě řádově převýší související náklady.</w:t>
      </w:r>
    </w:p>
    <w:p w:rsidR="009B7657" w:rsidRPr="009B7657" w:rsidRDefault="009B7657" w:rsidP="009B7657">
      <w:pPr>
        <w:rPr>
          <w:b/>
          <w:lang w:eastAsia="cs-CZ"/>
        </w:rPr>
      </w:pPr>
    </w:p>
    <w:p w:rsidR="009B7657" w:rsidRPr="005F2CF0" w:rsidRDefault="009B7657" w:rsidP="005F2CF0">
      <w:pPr>
        <w:rPr>
          <w:lang w:eastAsia="cs-CZ"/>
        </w:rPr>
      </w:pPr>
    </w:p>
    <w:sectPr w:rsidR="009B7657" w:rsidRPr="005F2CF0" w:rsidSect="007D03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3CD" w:rsidRDefault="001F53CD" w:rsidP="000429C5">
      <w:r>
        <w:separator/>
      </w:r>
    </w:p>
    <w:p w:rsidR="001F53CD" w:rsidRDefault="001F53CD"/>
  </w:endnote>
  <w:endnote w:type="continuationSeparator" w:id="0">
    <w:p w:rsidR="001F53CD" w:rsidRDefault="001F53CD" w:rsidP="000429C5">
      <w:r>
        <w:continuationSeparator/>
      </w:r>
    </w:p>
    <w:p w:rsidR="001F53CD" w:rsidRDefault="001F5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00002FF" w:usb1="4000A47B"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829" w:rsidRPr="00B40C0C" w:rsidRDefault="00BD0B7B" w:rsidP="00C21920">
    <w:pPr>
      <w:pStyle w:val="Zpat"/>
      <w:jc w:val="center"/>
    </w:pPr>
    <w:r w:rsidRPr="00AE4A27">
      <w:t xml:space="preserve">Strana </w:t>
    </w:r>
    <w:r w:rsidRPr="00AE4A27">
      <w:fldChar w:fldCharType="begin"/>
    </w:r>
    <w:r w:rsidRPr="00AE4A27">
      <w:instrText xml:space="preserve"> PAGE  \* Arabic  \* MERGEFORMAT </w:instrText>
    </w:r>
    <w:r w:rsidRPr="00AE4A27">
      <w:fldChar w:fldCharType="separate"/>
    </w:r>
    <w:r w:rsidR="002E0428">
      <w:rPr>
        <w:noProof/>
      </w:rPr>
      <w:t>6</w:t>
    </w:r>
    <w:r w:rsidRPr="00AE4A27">
      <w:rPr>
        <w:noProof/>
      </w:rPr>
      <w:fldChar w:fldCharType="end"/>
    </w:r>
    <w:r w:rsidRPr="00AE4A27">
      <w:t xml:space="preserve"> z </w:t>
    </w:r>
    <w:r w:rsidRPr="00AE4A27">
      <w:fldChar w:fldCharType="begin"/>
    </w:r>
    <w:r w:rsidRPr="00AE4A27">
      <w:instrText>NUMPAGES</w:instrText>
    </w:r>
    <w:r w:rsidRPr="00AE4A27">
      <w:fldChar w:fldCharType="separate"/>
    </w:r>
    <w:r w:rsidR="002E0428">
      <w:rPr>
        <w:noProof/>
      </w:rPr>
      <w:t>6</w:t>
    </w:r>
    <w:r w:rsidRPr="00AE4A2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3CD" w:rsidRDefault="001F53CD" w:rsidP="000429C5">
      <w:r>
        <w:separator/>
      </w:r>
    </w:p>
    <w:p w:rsidR="001F53CD" w:rsidRDefault="001F53CD"/>
  </w:footnote>
  <w:footnote w:type="continuationSeparator" w:id="0">
    <w:p w:rsidR="001F53CD" w:rsidRDefault="001F53CD" w:rsidP="000429C5">
      <w:r>
        <w:continuationSeparator/>
      </w:r>
    </w:p>
    <w:p w:rsidR="001F53CD" w:rsidRDefault="001F53CD"/>
  </w:footnote>
  <w:footnote w:id="1">
    <w:p w:rsidR="00565BCE" w:rsidRDefault="00565BCE" w:rsidP="00565BCE">
      <w:pPr>
        <w:pStyle w:val="Textpoznpodarou"/>
      </w:pPr>
      <w:r>
        <w:rPr>
          <w:rStyle w:val="Znakapoznpodarou"/>
        </w:rPr>
        <w:footnoteRef/>
      </w:r>
      <w:r>
        <w:t xml:space="preserve"> Podřízenými organizacemi jsou myšleny organizační složky státu řízené ústředním orgánem státní správy nebo právnické osoby, které jsou zřízené ústředním orgánem státní správy nebo ve kterých má ústřední orgán státní správy majetková práva nebo v nich vykonává vliv na řízení, které jsou veřejným zadavatelem podle § 2 odst. 2 písm. a), b) a d) zákona č. 137/2006 Sb., o veřejných zakázkách, ve znění pozdějších předpisů. Seznam ústředních orgánů státní správy a jejich podřízených organizací vede na základě Usnesení vlády České republiky č. 563 ze dne 20. července 2011 k resortním systémům centralizovaného zadávání veřejných zakázek ústředních orgánů státní správy Ministerstvo pro místní rozvoj ČR.</w:t>
      </w:r>
    </w:p>
  </w:footnote>
  <w:footnote w:id="2">
    <w:p w:rsidR="003F7829" w:rsidRDefault="003F7829">
      <w:pPr>
        <w:pStyle w:val="Textpoznpodarou"/>
      </w:pPr>
      <w:r>
        <w:rPr>
          <w:rStyle w:val="Znakapoznpodarou"/>
        </w:rPr>
        <w:footnoteRef/>
      </w:r>
      <w:r>
        <w:t xml:space="preserve"> Resort Ministerstva financí, Ministerstva životního prostředí, Ministerstva pro místní rozvoj, Ministerstva dopravy (vyjma Ředitelství silnic a dálnic, Správy železniční a dopravní cesty a Českých drah), Ministerstva obrany a Ministerstva spravedlnosti. </w:t>
      </w:r>
    </w:p>
  </w:footnote>
  <w:footnote w:id="3">
    <w:p w:rsidR="00DA2AFA" w:rsidRDefault="00DA2AFA" w:rsidP="00DA2AFA">
      <w:pPr>
        <w:pStyle w:val="Textpoznpodarou"/>
      </w:pPr>
      <w:r>
        <w:rPr>
          <w:rStyle w:val="Znakapoznpodarou"/>
        </w:rPr>
        <w:footnoteRef/>
      </w:r>
      <w:r>
        <w:t xml:space="preserve"> Užší pojetí: Energie a správa budov, Doprava a ubytování, ICT komodity, Vozový park a pohonné hmoty, Kancelářské potřeby a Kancelářská technika</w:t>
      </w:r>
    </w:p>
  </w:footnote>
  <w:footnote w:id="4">
    <w:p w:rsidR="00DA2AFA" w:rsidRDefault="00DA2AFA" w:rsidP="00DA2AFA">
      <w:pPr>
        <w:pStyle w:val="Textpoznpodarou"/>
      </w:pPr>
      <w:r>
        <w:rPr>
          <w:rStyle w:val="Znakapoznpodarou"/>
        </w:rPr>
        <w:footnoteRef/>
      </w:r>
      <w:r>
        <w:t xml:space="preserve"> Širší pojetí: Navíc Právní a poradenské služby, Vzdělávání a školení</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D689E6"/>
    <w:lvl w:ilvl="0">
      <w:start w:val="1"/>
      <w:numFmt w:val="decimal"/>
      <w:lvlText w:val="%1."/>
      <w:lvlJc w:val="left"/>
      <w:pPr>
        <w:tabs>
          <w:tab w:val="num" w:pos="1492"/>
        </w:tabs>
        <w:ind w:left="1492" w:hanging="360"/>
      </w:pPr>
    </w:lvl>
  </w:abstractNum>
  <w:abstractNum w:abstractNumId="1">
    <w:nsid w:val="FFFFFF7D"/>
    <w:multiLevelType w:val="singleLevel"/>
    <w:tmpl w:val="4A54FB6C"/>
    <w:lvl w:ilvl="0">
      <w:start w:val="1"/>
      <w:numFmt w:val="decimal"/>
      <w:lvlText w:val="%1."/>
      <w:lvlJc w:val="left"/>
      <w:pPr>
        <w:tabs>
          <w:tab w:val="num" w:pos="1209"/>
        </w:tabs>
        <w:ind w:left="1209" w:hanging="360"/>
      </w:pPr>
    </w:lvl>
  </w:abstractNum>
  <w:abstractNum w:abstractNumId="2">
    <w:nsid w:val="FFFFFF7E"/>
    <w:multiLevelType w:val="singleLevel"/>
    <w:tmpl w:val="77C8915A"/>
    <w:lvl w:ilvl="0">
      <w:start w:val="1"/>
      <w:numFmt w:val="decimal"/>
      <w:lvlText w:val="%1."/>
      <w:lvlJc w:val="left"/>
      <w:pPr>
        <w:tabs>
          <w:tab w:val="num" w:pos="926"/>
        </w:tabs>
        <w:ind w:left="926" w:hanging="360"/>
      </w:pPr>
    </w:lvl>
  </w:abstractNum>
  <w:abstractNum w:abstractNumId="3">
    <w:nsid w:val="FFFFFF7F"/>
    <w:multiLevelType w:val="singleLevel"/>
    <w:tmpl w:val="451CCBD0"/>
    <w:lvl w:ilvl="0">
      <w:start w:val="1"/>
      <w:numFmt w:val="decimal"/>
      <w:lvlText w:val="%1."/>
      <w:lvlJc w:val="left"/>
      <w:pPr>
        <w:tabs>
          <w:tab w:val="num" w:pos="643"/>
        </w:tabs>
        <w:ind w:left="643" w:hanging="360"/>
      </w:pPr>
    </w:lvl>
  </w:abstractNum>
  <w:abstractNum w:abstractNumId="4">
    <w:nsid w:val="FFFFFF80"/>
    <w:multiLevelType w:val="singleLevel"/>
    <w:tmpl w:val="709209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EA57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D678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DC71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205146"/>
    <w:lvl w:ilvl="0">
      <w:start w:val="1"/>
      <w:numFmt w:val="decimal"/>
      <w:lvlText w:val="%1."/>
      <w:lvlJc w:val="left"/>
      <w:pPr>
        <w:tabs>
          <w:tab w:val="num" w:pos="360"/>
        </w:tabs>
        <w:ind w:left="360" w:hanging="360"/>
      </w:pPr>
    </w:lvl>
  </w:abstractNum>
  <w:abstractNum w:abstractNumId="9">
    <w:nsid w:val="FFFFFF89"/>
    <w:multiLevelType w:val="singleLevel"/>
    <w:tmpl w:val="CAF0F76E"/>
    <w:lvl w:ilvl="0">
      <w:start w:val="1"/>
      <w:numFmt w:val="bullet"/>
      <w:lvlText w:val=""/>
      <w:lvlJc w:val="left"/>
      <w:pPr>
        <w:tabs>
          <w:tab w:val="num" w:pos="360"/>
        </w:tabs>
        <w:ind w:left="360" w:hanging="360"/>
      </w:pPr>
      <w:rPr>
        <w:rFonts w:ascii="Symbol" w:hAnsi="Symbol" w:hint="default"/>
      </w:rPr>
    </w:lvl>
  </w:abstractNum>
  <w:abstractNum w:abstractNumId="10">
    <w:nsid w:val="0116568C"/>
    <w:multiLevelType w:val="multilevel"/>
    <w:tmpl w:val="0B7C0C12"/>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432" w:hanging="432"/>
      </w:pPr>
      <w:rPr>
        <w:rFonts w:hint="default"/>
      </w:rPr>
    </w:lvl>
    <w:lvl w:ilvl="2">
      <w:start w:val="1"/>
      <w:numFmt w:val="decimal"/>
      <w:pStyle w:val="Nadpis3"/>
      <w:lvlText w:val="%1.%2.%3"/>
      <w:lvlJc w:val="left"/>
      <w:pPr>
        <w:ind w:left="1072" w:hanging="504"/>
      </w:pPr>
      <w:rPr>
        <w:rFonts w:hint="default"/>
        <w:i w:val="0"/>
      </w:rPr>
    </w:lvl>
    <w:lvl w:ilvl="3">
      <w:start w:val="1"/>
      <w:numFmt w:val="decimal"/>
      <w:pStyle w:val="Nadpis4"/>
      <w:lvlText w:val="%1.%2.%3.%4"/>
      <w:lvlJc w:val="left"/>
      <w:pPr>
        <w:ind w:left="1728" w:hanging="10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AC0280E"/>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3DE6280"/>
    <w:multiLevelType w:val="hybridMultilevel"/>
    <w:tmpl w:val="9ABEDE5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nsid w:val="14412F87"/>
    <w:multiLevelType w:val="hybridMultilevel"/>
    <w:tmpl w:val="956259F8"/>
    <w:lvl w:ilvl="0" w:tplc="14927C7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5BE1581"/>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19C6008"/>
    <w:multiLevelType w:val="hybridMultilevel"/>
    <w:tmpl w:val="BB38F9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A651E3"/>
    <w:multiLevelType w:val="hybridMultilevel"/>
    <w:tmpl w:val="5EA44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0550BF1"/>
    <w:multiLevelType w:val="hybridMultilevel"/>
    <w:tmpl w:val="1E9CA4EC"/>
    <w:lvl w:ilvl="0" w:tplc="C7B02136">
      <w:start w:val="1"/>
      <w:numFmt w:val="bullet"/>
      <w:lvlText w:val=""/>
      <w:lvlJc w:val="left"/>
      <w:pPr>
        <w:ind w:left="720" w:hanging="360"/>
      </w:pPr>
      <w:rPr>
        <w:rFonts w:ascii="Symbol" w:hAnsi="Symbol" w:hint="default"/>
      </w:rPr>
    </w:lvl>
    <w:lvl w:ilvl="1" w:tplc="A366F4EC">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B4359C4"/>
    <w:multiLevelType w:val="hybridMultilevel"/>
    <w:tmpl w:val="F2F2E8BA"/>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34935A9"/>
    <w:multiLevelType w:val="hybridMultilevel"/>
    <w:tmpl w:val="58D2D5E6"/>
    <w:lvl w:ilvl="0" w:tplc="938A899E">
      <w:start w:val="1"/>
      <w:numFmt w:val="bullet"/>
      <w:pStyle w:val="Bulletslevel1"/>
      <w:lvlText w:val=""/>
      <w:lvlJc w:val="left"/>
      <w:pPr>
        <w:ind w:left="720" w:hanging="360"/>
      </w:pPr>
      <w:rPr>
        <w:rFonts w:ascii="Symbol" w:hAnsi="Symbol" w:hint="default"/>
        <w:b w:val="0"/>
        <w:i w:val="0"/>
        <w:sz w:val="19"/>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69A40910"/>
    <w:multiLevelType w:val="hybridMultilevel"/>
    <w:tmpl w:val="97BEEFF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5455EF"/>
    <w:multiLevelType w:val="hybridMultilevel"/>
    <w:tmpl w:val="D0DC3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FA3144A"/>
    <w:multiLevelType w:val="hybridMultilevel"/>
    <w:tmpl w:val="F944439E"/>
    <w:lvl w:ilvl="0" w:tplc="04050015">
      <w:start w:val="1"/>
      <w:numFmt w:val="upp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711A5400"/>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71A63B1F"/>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7F7202E"/>
    <w:multiLevelType w:val="hybridMultilevel"/>
    <w:tmpl w:val="9ABEDE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C6D37AF"/>
    <w:multiLevelType w:val="hybridMultilevel"/>
    <w:tmpl w:val="D0DC3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9"/>
  </w:num>
  <w:num w:numId="4">
    <w:abstractNumId w:val="16"/>
  </w:num>
  <w:num w:numId="5">
    <w:abstractNumId w:val="10"/>
  </w:num>
  <w:num w:numId="6">
    <w:abstractNumId w:val="10"/>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0"/>
  </w:num>
  <w:num w:numId="20">
    <w:abstractNumId w:val="14"/>
  </w:num>
  <w:num w:numId="21">
    <w:abstractNumId w:val="20"/>
  </w:num>
  <w:num w:numId="22">
    <w:abstractNumId w:val="24"/>
  </w:num>
  <w:num w:numId="23">
    <w:abstractNumId w:val="18"/>
  </w:num>
  <w:num w:numId="24">
    <w:abstractNumId w:val="23"/>
  </w:num>
  <w:num w:numId="25">
    <w:abstractNumId w:val="11"/>
  </w:num>
  <w:num w:numId="26">
    <w:abstractNumId w:val="21"/>
  </w:num>
  <w:num w:numId="27">
    <w:abstractNumId w:val="25"/>
  </w:num>
  <w:num w:numId="28">
    <w:abstractNumId w:val="12"/>
  </w:num>
  <w:num w:numId="29">
    <w:abstractNumId w:val="13"/>
  </w:num>
  <w:num w:numId="30">
    <w:abstractNumId w:val="26"/>
  </w:num>
  <w:num w:numId="3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efaultTableStyle w:val="Tabulka4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AF6"/>
    <w:rsid w:val="00000506"/>
    <w:rsid w:val="000012DC"/>
    <w:rsid w:val="00001D9F"/>
    <w:rsid w:val="00002A80"/>
    <w:rsid w:val="0000627D"/>
    <w:rsid w:val="000105F6"/>
    <w:rsid w:val="00011587"/>
    <w:rsid w:val="00012E96"/>
    <w:rsid w:val="00016392"/>
    <w:rsid w:val="000170DE"/>
    <w:rsid w:val="00020C31"/>
    <w:rsid w:val="00027596"/>
    <w:rsid w:val="00040E3E"/>
    <w:rsid w:val="0004243F"/>
    <w:rsid w:val="000429C5"/>
    <w:rsid w:val="00046186"/>
    <w:rsid w:val="000462CC"/>
    <w:rsid w:val="00047492"/>
    <w:rsid w:val="00047F05"/>
    <w:rsid w:val="000516C9"/>
    <w:rsid w:val="000516EE"/>
    <w:rsid w:val="00054CA0"/>
    <w:rsid w:val="00055D52"/>
    <w:rsid w:val="000631B5"/>
    <w:rsid w:val="00063CF6"/>
    <w:rsid w:val="00067C29"/>
    <w:rsid w:val="0007016A"/>
    <w:rsid w:val="000716BF"/>
    <w:rsid w:val="00071951"/>
    <w:rsid w:val="00073749"/>
    <w:rsid w:val="00074734"/>
    <w:rsid w:val="00080978"/>
    <w:rsid w:val="00081D29"/>
    <w:rsid w:val="00081FFB"/>
    <w:rsid w:val="00083D4E"/>
    <w:rsid w:val="000840BF"/>
    <w:rsid w:val="00087033"/>
    <w:rsid w:val="00090364"/>
    <w:rsid w:val="00090AC2"/>
    <w:rsid w:val="000927A8"/>
    <w:rsid w:val="000943E0"/>
    <w:rsid w:val="0009589A"/>
    <w:rsid w:val="00096973"/>
    <w:rsid w:val="000A23C1"/>
    <w:rsid w:val="000A75AF"/>
    <w:rsid w:val="000B2D85"/>
    <w:rsid w:val="000B40B9"/>
    <w:rsid w:val="000B5C9E"/>
    <w:rsid w:val="000C01EF"/>
    <w:rsid w:val="000C0FEC"/>
    <w:rsid w:val="000C1A33"/>
    <w:rsid w:val="000C4E14"/>
    <w:rsid w:val="000C56F2"/>
    <w:rsid w:val="000C7247"/>
    <w:rsid w:val="000D0C06"/>
    <w:rsid w:val="000D1250"/>
    <w:rsid w:val="000E221B"/>
    <w:rsid w:val="000E3A46"/>
    <w:rsid w:val="000E4D0C"/>
    <w:rsid w:val="000E6BF6"/>
    <w:rsid w:val="000F3AE7"/>
    <w:rsid w:val="000F44B6"/>
    <w:rsid w:val="000F48D7"/>
    <w:rsid w:val="000F4C0B"/>
    <w:rsid w:val="000F78F0"/>
    <w:rsid w:val="000F7B42"/>
    <w:rsid w:val="001006BD"/>
    <w:rsid w:val="001006C9"/>
    <w:rsid w:val="00104558"/>
    <w:rsid w:val="001051F9"/>
    <w:rsid w:val="00106789"/>
    <w:rsid w:val="001067B8"/>
    <w:rsid w:val="0010774C"/>
    <w:rsid w:val="0011039F"/>
    <w:rsid w:val="00110496"/>
    <w:rsid w:val="00112421"/>
    <w:rsid w:val="001131FA"/>
    <w:rsid w:val="00117CFB"/>
    <w:rsid w:val="00122225"/>
    <w:rsid w:val="00124C3E"/>
    <w:rsid w:val="00125CEF"/>
    <w:rsid w:val="001273B8"/>
    <w:rsid w:val="00127D9C"/>
    <w:rsid w:val="001301AC"/>
    <w:rsid w:val="001307DA"/>
    <w:rsid w:val="001312A7"/>
    <w:rsid w:val="00131339"/>
    <w:rsid w:val="001322D3"/>
    <w:rsid w:val="001349D4"/>
    <w:rsid w:val="00135473"/>
    <w:rsid w:val="00136A61"/>
    <w:rsid w:val="00137251"/>
    <w:rsid w:val="001374EF"/>
    <w:rsid w:val="001418B8"/>
    <w:rsid w:val="00143BD9"/>
    <w:rsid w:val="001442CF"/>
    <w:rsid w:val="001443FC"/>
    <w:rsid w:val="0014635F"/>
    <w:rsid w:val="00146828"/>
    <w:rsid w:val="00147806"/>
    <w:rsid w:val="00150E69"/>
    <w:rsid w:val="001607F5"/>
    <w:rsid w:val="0016134A"/>
    <w:rsid w:val="00166B2A"/>
    <w:rsid w:val="00173598"/>
    <w:rsid w:val="0017494C"/>
    <w:rsid w:val="00175CDE"/>
    <w:rsid w:val="00182383"/>
    <w:rsid w:val="001874F5"/>
    <w:rsid w:val="00190CD9"/>
    <w:rsid w:val="00193421"/>
    <w:rsid w:val="0019400F"/>
    <w:rsid w:val="001967C8"/>
    <w:rsid w:val="001A23F2"/>
    <w:rsid w:val="001A262D"/>
    <w:rsid w:val="001A28A6"/>
    <w:rsid w:val="001A48A2"/>
    <w:rsid w:val="001A5F75"/>
    <w:rsid w:val="001A7BFD"/>
    <w:rsid w:val="001C0737"/>
    <w:rsid w:val="001C2E3C"/>
    <w:rsid w:val="001C455A"/>
    <w:rsid w:val="001D5F66"/>
    <w:rsid w:val="001D79F9"/>
    <w:rsid w:val="001D7B69"/>
    <w:rsid w:val="001E33CD"/>
    <w:rsid w:val="001E34F1"/>
    <w:rsid w:val="001E4366"/>
    <w:rsid w:val="001E7E0E"/>
    <w:rsid w:val="001F0E2D"/>
    <w:rsid w:val="001F53CD"/>
    <w:rsid w:val="001F6ED9"/>
    <w:rsid w:val="00200615"/>
    <w:rsid w:val="00200B40"/>
    <w:rsid w:val="00201946"/>
    <w:rsid w:val="0020302C"/>
    <w:rsid w:val="00204892"/>
    <w:rsid w:val="00205702"/>
    <w:rsid w:val="00211B31"/>
    <w:rsid w:val="002155FB"/>
    <w:rsid w:val="0023051A"/>
    <w:rsid w:val="002308B6"/>
    <w:rsid w:val="00230C4F"/>
    <w:rsid w:val="00230F57"/>
    <w:rsid w:val="002322B9"/>
    <w:rsid w:val="002323B2"/>
    <w:rsid w:val="00232A7C"/>
    <w:rsid w:val="0023454A"/>
    <w:rsid w:val="00235D74"/>
    <w:rsid w:val="0023716C"/>
    <w:rsid w:val="00237AF6"/>
    <w:rsid w:val="00242BD5"/>
    <w:rsid w:val="0024481B"/>
    <w:rsid w:val="00256E30"/>
    <w:rsid w:val="00256FC1"/>
    <w:rsid w:val="00261E3A"/>
    <w:rsid w:val="00264400"/>
    <w:rsid w:val="00266627"/>
    <w:rsid w:val="002719A9"/>
    <w:rsid w:val="002719C9"/>
    <w:rsid w:val="00272D05"/>
    <w:rsid w:val="00274347"/>
    <w:rsid w:val="00274BCB"/>
    <w:rsid w:val="0027645A"/>
    <w:rsid w:val="00276864"/>
    <w:rsid w:val="00276FA1"/>
    <w:rsid w:val="002775CB"/>
    <w:rsid w:val="00281CC2"/>
    <w:rsid w:val="00285E19"/>
    <w:rsid w:val="00286547"/>
    <w:rsid w:val="0029326D"/>
    <w:rsid w:val="00297E2E"/>
    <w:rsid w:val="002A0078"/>
    <w:rsid w:val="002A04A6"/>
    <w:rsid w:val="002A17B8"/>
    <w:rsid w:val="002A3A08"/>
    <w:rsid w:val="002A55DE"/>
    <w:rsid w:val="002B0C19"/>
    <w:rsid w:val="002B1352"/>
    <w:rsid w:val="002B6C00"/>
    <w:rsid w:val="002B6EB3"/>
    <w:rsid w:val="002C0DE9"/>
    <w:rsid w:val="002C0F49"/>
    <w:rsid w:val="002C1A78"/>
    <w:rsid w:val="002C57F8"/>
    <w:rsid w:val="002C66B5"/>
    <w:rsid w:val="002D1435"/>
    <w:rsid w:val="002D3E5F"/>
    <w:rsid w:val="002E0428"/>
    <w:rsid w:val="002E1811"/>
    <w:rsid w:val="002E1BD4"/>
    <w:rsid w:val="002E272B"/>
    <w:rsid w:val="002F4694"/>
    <w:rsid w:val="002F5233"/>
    <w:rsid w:val="002F588E"/>
    <w:rsid w:val="002F6099"/>
    <w:rsid w:val="00300636"/>
    <w:rsid w:val="00301FB9"/>
    <w:rsid w:val="00302783"/>
    <w:rsid w:val="00304D56"/>
    <w:rsid w:val="0030613E"/>
    <w:rsid w:val="0030636C"/>
    <w:rsid w:val="003106DD"/>
    <w:rsid w:val="003108F3"/>
    <w:rsid w:val="003139C5"/>
    <w:rsid w:val="00313B35"/>
    <w:rsid w:val="0031404B"/>
    <w:rsid w:val="00314443"/>
    <w:rsid w:val="00314A67"/>
    <w:rsid w:val="0031653F"/>
    <w:rsid w:val="00316570"/>
    <w:rsid w:val="00317E1A"/>
    <w:rsid w:val="00323D3E"/>
    <w:rsid w:val="003247CD"/>
    <w:rsid w:val="00324861"/>
    <w:rsid w:val="00324DB3"/>
    <w:rsid w:val="00335F09"/>
    <w:rsid w:val="003377BA"/>
    <w:rsid w:val="00346C34"/>
    <w:rsid w:val="00353463"/>
    <w:rsid w:val="003572F0"/>
    <w:rsid w:val="00361CA6"/>
    <w:rsid w:val="003635AF"/>
    <w:rsid w:val="00365470"/>
    <w:rsid w:val="00371276"/>
    <w:rsid w:val="00373809"/>
    <w:rsid w:val="003763F6"/>
    <w:rsid w:val="00382DA7"/>
    <w:rsid w:val="003832B2"/>
    <w:rsid w:val="00384E9F"/>
    <w:rsid w:val="00385A1A"/>
    <w:rsid w:val="003879C3"/>
    <w:rsid w:val="00387A52"/>
    <w:rsid w:val="00387F1E"/>
    <w:rsid w:val="003906A2"/>
    <w:rsid w:val="00393396"/>
    <w:rsid w:val="003938AB"/>
    <w:rsid w:val="003A3120"/>
    <w:rsid w:val="003A5E19"/>
    <w:rsid w:val="003A7122"/>
    <w:rsid w:val="003B3901"/>
    <w:rsid w:val="003C08E3"/>
    <w:rsid w:val="003C399E"/>
    <w:rsid w:val="003C5C0F"/>
    <w:rsid w:val="003D2068"/>
    <w:rsid w:val="003D4F5D"/>
    <w:rsid w:val="003D5DBE"/>
    <w:rsid w:val="003D796A"/>
    <w:rsid w:val="003E2915"/>
    <w:rsid w:val="003E4B1C"/>
    <w:rsid w:val="003F1183"/>
    <w:rsid w:val="003F4470"/>
    <w:rsid w:val="003F44AF"/>
    <w:rsid w:val="003F64AB"/>
    <w:rsid w:val="003F7829"/>
    <w:rsid w:val="004023AC"/>
    <w:rsid w:val="00407719"/>
    <w:rsid w:val="00410DE6"/>
    <w:rsid w:val="00413FDE"/>
    <w:rsid w:val="00416CD2"/>
    <w:rsid w:val="004216A5"/>
    <w:rsid w:val="004255D5"/>
    <w:rsid w:val="00425B80"/>
    <w:rsid w:val="00425CB7"/>
    <w:rsid w:val="0042630B"/>
    <w:rsid w:val="004303A5"/>
    <w:rsid w:val="004304A4"/>
    <w:rsid w:val="00433B80"/>
    <w:rsid w:val="00441DB5"/>
    <w:rsid w:val="00442AA6"/>
    <w:rsid w:val="00446370"/>
    <w:rsid w:val="00447DCF"/>
    <w:rsid w:val="00452E17"/>
    <w:rsid w:val="004608A3"/>
    <w:rsid w:val="00460A94"/>
    <w:rsid w:val="00461354"/>
    <w:rsid w:val="0046345A"/>
    <w:rsid w:val="004638FD"/>
    <w:rsid w:val="0046780C"/>
    <w:rsid w:val="00470BD1"/>
    <w:rsid w:val="0047580F"/>
    <w:rsid w:val="00477CD2"/>
    <w:rsid w:val="0048401F"/>
    <w:rsid w:val="004840A9"/>
    <w:rsid w:val="0049067B"/>
    <w:rsid w:val="004907AE"/>
    <w:rsid w:val="004911C3"/>
    <w:rsid w:val="004913A6"/>
    <w:rsid w:val="004931D9"/>
    <w:rsid w:val="0049435A"/>
    <w:rsid w:val="0049546F"/>
    <w:rsid w:val="004962AA"/>
    <w:rsid w:val="00497113"/>
    <w:rsid w:val="004A3CF6"/>
    <w:rsid w:val="004B2823"/>
    <w:rsid w:val="004B47FA"/>
    <w:rsid w:val="004C2318"/>
    <w:rsid w:val="004C43B7"/>
    <w:rsid w:val="004C63C3"/>
    <w:rsid w:val="004C7EFD"/>
    <w:rsid w:val="004D2684"/>
    <w:rsid w:val="004D66E6"/>
    <w:rsid w:val="004D7FEE"/>
    <w:rsid w:val="004E7748"/>
    <w:rsid w:val="004F06CF"/>
    <w:rsid w:val="004F1054"/>
    <w:rsid w:val="004F1074"/>
    <w:rsid w:val="004F11DF"/>
    <w:rsid w:val="004F1227"/>
    <w:rsid w:val="004F1E6C"/>
    <w:rsid w:val="00501F80"/>
    <w:rsid w:val="005050E3"/>
    <w:rsid w:val="00506CE3"/>
    <w:rsid w:val="00514E47"/>
    <w:rsid w:val="00517415"/>
    <w:rsid w:val="00521BC9"/>
    <w:rsid w:val="00524643"/>
    <w:rsid w:val="00524A57"/>
    <w:rsid w:val="00525CF8"/>
    <w:rsid w:val="0052710A"/>
    <w:rsid w:val="00531806"/>
    <w:rsid w:val="00537A58"/>
    <w:rsid w:val="0054103E"/>
    <w:rsid w:val="00543874"/>
    <w:rsid w:val="005456C5"/>
    <w:rsid w:val="00552F8C"/>
    <w:rsid w:val="00556191"/>
    <w:rsid w:val="00556CC0"/>
    <w:rsid w:val="00557876"/>
    <w:rsid w:val="00557AAD"/>
    <w:rsid w:val="00561AAE"/>
    <w:rsid w:val="00562B14"/>
    <w:rsid w:val="00563B8E"/>
    <w:rsid w:val="00565BCE"/>
    <w:rsid w:val="0057024E"/>
    <w:rsid w:val="00571E43"/>
    <w:rsid w:val="00574B75"/>
    <w:rsid w:val="00576639"/>
    <w:rsid w:val="0058248E"/>
    <w:rsid w:val="005911C1"/>
    <w:rsid w:val="00594833"/>
    <w:rsid w:val="00594F3A"/>
    <w:rsid w:val="00595ED5"/>
    <w:rsid w:val="00595F34"/>
    <w:rsid w:val="005972D4"/>
    <w:rsid w:val="005A70C1"/>
    <w:rsid w:val="005B0AB8"/>
    <w:rsid w:val="005B0FA2"/>
    <w:rsid w:val="005B1A9B"/>
    <w:rsid w:val="005B580F"/>
    <w:rsid w:val="005B5EF5"/>
    <w:rsid w:val="005B795F"/>
    <w:rsid w:val="005C126F"/>
    <w:rsid w:val="005C7873"/>
    <w:rsid w:val="005D2D24"/>
    <w:rsid w:val="005E1770"/>
    <w:rsid w:val="005E232B"/>
    <w:rsid w:val="005E4013"/>
    <w:rsid w:val="005E407A"/>
    <w:rsid w:val="005E61EB"/>
    <w:rsid w:val="005E6812"/>
    <w:rsid w:val="005F0284"/>
    <w:rsid w:val="005F2466"/>
    <w:rsid w:val="005F2CF0"/>
    <w:rsid w:val="005F555F"/>
    <w:rsid w:val="005F6447"/>
    <w:rsid w:val="00600603"/>
    <w:rsid w:val="00605D0F"/>
    <w:rsid w:val="00605DD7"/>
    <w:rsid w:val="00612E93"/>
    <w:rsid w:val="00615919"/>
    <w:rsid w:val="006163D3"/>
    <w:rsid w:val="00616AF3"/>
    <w:rsid w:val="00616C52"/>
    <w:rsid w:val="00620638"/>
    <w:rsid w:val="00621912"/>
    <w:rsid w:val="00622F73"/>
    <w:rsid w:val="00632D9B"/>
    <w:rsid w:val="0063362D"/>
    <w:rsid w:val="00633E2D"/>
    <w:rsid w:val="006355BC"/>
    <w:rsid w:val="0063647E"/>
    <w:rsid w:val="0063702D"/>
    <w:rsid w:val="00640FA6"/>
    <w:rsid w:val="006436C0"/>
    <w:rsid w:val="00643A36"/>
    <w:rsid w:val="00644505"/>
    <w:rsid w:val="00645B4F"/>
    <w:rsid w:val="00652C03"/>
    <w:rsid w:val="0065352F"/>
    <w:rsid w:val="00653799"/>
    <w:rsid w:val="00656447"/>
    <w:rsid w:val="00657CEA"/>
    <w:rsid w:val="0066149B"/>
    <w:rsid w:val="00663956"/>
    <w:rsid w:val="00666384"/>
    <w:rsid w:val="00671C7F"/>
    <w:rsid w:val="00671F2E"/>
    <w:rsid w:val="006727C8"/>
    <w:rsid w:val="00672B11"/>
    <w:rsid w:val="00677A80"/>
    <w:rsid w:val="00680392"/>
    <w:rsid w:val="00684976"/>
    <w:rsid w:val="006867AE"/>
    <w:rsid w:val="00686A2E"/>
    <w:rsid w:val="0069192B"/>
    <w:rsid w:val="00691F4F"/>
    <w:rsid w:val="00697BF5"/>
    <w:rsid w:val="006A0901"/>
    <w:rsid w:val="006A123D"/>
    <w:rsid w:val="006A3F92"/>
    <w:rsid w:val="006A43DD"/>
    <w:rsid w:val="006A4A00"/>
    <w:rsid w:val="006A714A"/>
    <w:rsid w:val="006B312C"/>
    <w:rsid w:val="006B3830"/>
    <w:rsid w:val="006B4E51"/>
    <w:rsid w:val="006B62C3"/>
    <w:rsid w:val="006B639B"/>
    <w:rsid w:val="006B75A1"/>
    <w:rsid w:val="006C3D1E"/>
    <w:rsid w:val="006C4E0E"/>
    <w:rsid w:val="006D227C"/>
    <w:rsid w:val="006D284F"/>
    <w:rsid w:val="006D2A05"/>
    <w:rsid w:val="006D2D44"/>
    <w:rsid w:val="006D69DD"/>
    <w:rsid w:val="006D6C71"/>
    <w:rsid w:val="006D71EF"/>
    <w:rsid w:val="006E23DB"/>
    <w:rsid w:val="006E49F8"/>
    <w:rsid w:val="006F7B43"/>
    <w:rsid w:val="007037CC"/>
    <w:rsid w:val="00705B69"/>
    <w:rsid w:val="00706594"/>
    <w:rsid w:val="00711EC5"/>
    <w:rsid w:val="007126EF"/>
    <w:rsid w:val="00716AFC"/>
    <w:rsid w:val="00717889"/>
    <w:rsid w:val="00717F55"/>
    <w:rsid w:val="00721D17"/>
    <w:rsid w:val="0072383C"/>
    <w:rsid w:val="007272D5"/>
    <w:rsid w:val="00740F08"/>
    <w:rsid w:val="00744C1E"/>
    <w:rsid w:val="00745072"/>
    <w:rsid w:val="00747C24"/>
    <w:rsid w:val="00752F99"/>
    <w:rsid w:val="007536D9"/>
    <w:rsid w:val="007539A5"/>
    <w:rsid w:val="00755B5B"/>
    <w:rsid w:val="00755C72"/>
    <w:rsid w:val="00756EBF"/>
    <w:rsid w:val="00767F95"/>
    <w:rsid w:val="0077393B"/>
    <w:rsid w:val="00773B53"/>
    <w:rsid w:val="00774708"/>
    <w:rsid w:val="00776590"/>
    <w:rsid w:val="00793C67"/>
    <w:rsid w:val="00793D18"/>
    <w:rsid w:val="00796A0D"/>
    <w:rsid w:val="007A17E4"/>
    <w:rsid w:val="007A4911"/>
    <w:rsid w:val="007A4D98"/>
    <w:rsid w:val="007A5BBF"/>
    <w:rsid w:val="007A76BA"/>
    <w:rsid w:val="007A79B5"/>
    <w:rsid w:val="007B0C07"/>
    <w:rsid w:val="007B23ED"/>
    <w:rsid w:val="007B3B9E"/>
    <w:rsid w:val="007B7BD2"/>
    <w:rsid w:val="007C3395"/>
    <w:rsid w:val="007D0312"/>
    <w:rsid w:val="007D1C9B"/>
    <w:rsid w:val="007D334E"/>
    <w:rsid w:val="007D3535"/>
    <w:rsid w:val="007E51D8"/>
    <w:rsid w:val="007E5A88"/>
    <w:rsid w:val="007F38C4"/>
    <w:rsid w:val="007F5B1C"/>
    <w:rsid w:val="008017FF"/>
    <w:rsid w:val="00803D9E"/>
    <w:rsid w:val="008072B5"/>
    <w:rsid w:val="008158DC"/>
    <w:rsid w:val="00821345"/>
    <w:rsid w:val="00822DAB"/>
    <w:rsid w:val="008240B8"/>
    <w:rsid w:val="00830D58"/>
    <w:rsid w:val="00831023"/>
    <w:rsid w:val="00834041"/>
    <w:rsid w:val="008340A9"/>
    <w:rsid w:val="00834F03"/>
    <w:rsid w:val="00835AC9"/>
    <w:rsid w:val="00837B0A"/>
    <w:rsid w:val="00843A02"/>
    <w:rsid w:val="008441E5"/>
    <w:rsid w:val="0084520C"/>
    <w:rsid w:val="008473DC"/>
    <w:rsid w:val="00850243"/>
    <w:rsid w:val="00852619"/>
    <w:rsid w:val="00852E3E"/>
    <w:rsid w:val="00855B05"/>
    <w:rsid w:val="00855FD9"/>
    <w:rsid w:val="00857391"/>
    <w:rsid w:val="008573CA"/>
    <w:rsid w:val="00860583"/>
    <w:rsid w:val="008616B2"/>
    <w:rsid w:val="008635A9"/>
    <w:rsid w:val="00863A57"/>
    <w:rsid w:val="0086465B"/>
    <w:rsid w:val="008662CD"/>
    <w:rsid w:val="008700BC"/>
    <w:rsid w:val="00872B13"/>
    <w:rsid w:val="00875A18"/>
    <w:rsid w:val="00881174"/>
    <w:rsid w:val="00881AEE"/>
    <w:rsid w:val="008830FA"/>
    <w:rsid w:val="00887D30"/>
    <w:rsid w:val="0089173B"/>
    <w:rsid w:val="0089292B"/>
    <w:rsid w:val="008969A1"/>
    <w:rsid w:val="008A0379"/>
    <w:rsid w:val="008A0663"/>
    <w:rsid w:val="008A072B"/>
    <w:rsid w:val="008A1018"/>
    <w:rsid w:val="008A1DF5"/>
    <w:rsid w:val="008A218F"/>
    <w:rsid w:val="008A3B73"/>
    <w:rsid w:val="008A51DF"/>
    <w:rsid w:val="008A7ADA"/>
    <w:rsid w:val="008B0A3F"/>
    <w:rsid w:val="008B11A4"/>
    <w:rsid w:val="008B3CB6"/>
    <w:rsid w:val="008B50AB"/>
    <w:rsid w:val="008B6224"/>
    <w:rsid w:val="008C43E1"/>
    <w:rsid w:val="008C72FF"/>
    <w:rsid w:val="008C7757"/>
    <w:rsid w:val="008D00A5"/>
    <w:rsid w:val="008D3F0F"/>
    <w:rsid w:val="008E34B9"/>
    <w:rsid w:val="008E374A"/>
    <w:rsid w:val="008E3C82"/>
    <w:rsid w:val="008E50F4"/>
    <w:rsid w:val="008F0171"/>
    <w:rsid w:val="008F1721"/>
    <w:rsid w:val="008F5592"/>
    <w:rsid w:val="008F7380"/>
    <w:rsid w:val="0090010C"/>
    <w:rsid w:val="00910508"/>
    <w:rsid w:val="009113B9"/>
    <w:rsid w:val="00914E57"/>
    <w:rsid w:val="00915890"/>
    <w:rsid w:val="00915BE1"/>
    <w:rsid w:val="00915E7A"/>
    <w:rsid w:val="00917796"/>
    <w:rsid w:val="0092134D"/>
    <w:rsid w:val="00922DA7"/>
    <w:rsid w:val="0092400E"/>
    <w:rsid w:val="009271B7"/>
    <w:rsid w:val="009338C8"/>
    <w:rsid w:val="009350E7"/>
    <w:rsid w:val="00941903"/>
    <w:rsid w:val="009429A0"/>
    <w:rsid w:val="009433A6"/>
    <w:rsid w:val="0094598B"/>
    <w:rsid w:val="00947109"/>
    <w:rsid w:val="00950A18"/>
    <w:rsid w:val="00954D8D"/>
    <w:rsid w:val="00955D78"/>
    <w:rsid w:val="00956473"/>
    <w:rsid w:val="00956984"/>
    <w:rsid w:val="009604D7"/>
    <w:rsid w:val="009608E0"/>
    <w:rsid w:val="00960EF6"/>
    <w:rsid w:val="00961747"/>
    <w:rsid w:val="0096184C"/>
    <w:rsid w:val="00963E2E"/>
    <w:rsid w:val="009656F6"/>
    <w:rsid w:val="00966EF9"/>
    <w:rsid w:val="0096763F"/>
    <w:rsid w:val="00970951"/>
    <w:rsid w:val="00971D21"/>
    <w:rsid w:val="00980AA8"/>
    <w:rsid w:val="00981EDC"/>
    <w:rsid w:val="00982D63"/>
    <w:rsid w:val="00984FF1"/>
    <w:rsid w:val="0098740C"/>
    <w:rsid w:val="009919C9"/>
    <w:rsid w:val="0099277E"/>
    <w:rsid w:val="009A348A"/>
    <w:rsid w:val="009A79B6"/>
    <w:rsid w:val="009B2367"/>
    <w:rsid w:val="009B2A94"/>
    <w:rsid w:val="009B3EC7"/>
    <w:rsid w:val="009B5B79"/>
    <w:rsid w:val="009B7657"/>
    <w:rsid w:val="009C2E47"/>
    <w:rsid w:val="009D1DB0"/>
    <w:rsid w:val="009D4C3D"/>
    <w:rsid w:val="009D6AD5"/>
    <w:rsid w:val="009E2DB3"/>
    <w:rsid w:val="009E33DF"/>
    <w:rsid w:val="009E3509"/>
    <w:rsid w:val="009E40ED"/>
    <w:rsid w:val="009E58D3"/>
    <w:rsid w:val="009E6A02"/>
    <w:rsid w:val="009E7289"/>
    <w:rsid w:val="009F17F0"/>
    <w:rsid w:val="00A00BA3"/>
    <w:rsid w:val="00A00DA8"/>
    <w:rsid w:val="00A011DF"/>
    <w:rsid w:val="00A02681"/>
    <w:rsid w:val="00A04CF0"/>
    <w:rsid w:val="00A0587C"/>
    <w:rsid w:val="00A10CA6"/>
    <w:rsid w:val="00A1234E"/>
    <w:rsid w:val="00A1237F"/>
    <w:rsid w:val="00A2218E"/>
    <w:rsid w:val="00A26CE7"/>
    <w:rsid w:val="00A27B18"/>
    <w:rsid w:val="00A306E2"/>
    <w:rsid w:val="00A334DC"/>
    <w:rsid w:val="00A33E37"/>
    <w:rsid w:val="00A425C9"/>
    <w:rsid w:val="00A434C2"/>
    <w:rsid w:val="00A44865"/>
    <w:rsid w:val="00A45DB7"/>
    <w:rsid w:val="00A5048F"/>
    <w:rsid w:val="00A50DE6"/>
    <w:rsid w:val="00A510A2"/>
    <w:rsid w:val="00A6251B"/>
    <w:rsid w:val="00A64925"/>
    <w:rsid w:val="00A64D5D"/>
    <w:rsid w:val="00A65E06"/>
    <w:rsid w:val="00A72524"/>
    <w:rsid w:val="00A754A2"/>
    <w:rsid w:val="00A802FE"/>
    <w:rsid w:val="00A8610F"/>
    <w:rsid w:val="00A86625"/>
    <w:rsid w:val="00A867F6"/>
    <w:rsid w:val="00A8763E"/>
    <w:rsid w:val="00A87689"/>
    <w:rsid w:val="00A94750"/>
    <w:rsid w:val="00A95AD3"/>
    <w:rsid w:val="00AA1073"/>
    <w:rsid w:val="00AA491B"/>
    <w:rsid w:val="00AB3536"/>
    <w:rsid w:val="00AC005A"/>
    <w:rsid w:val="00AC2755"/>
    <w:rsid w:val="00AC6919"/>
    <w:rsid w:val="00AC71DA"/>
    <w:rsid w:val="00AD1416"/>
    <w:rsid w:val="00AD162B"/>
    <w:rsid w:val="00AD2441"/>
    <w:rsid w:val="00AD25F7"/>
    <w:rsid w:val="00AD4E5F"/>
    <w:rsid w:val="00AD6C2B"/>
    <w:rsid w:val="00AE0AA0"/>
    <w:rsid w:val="00AE3ED0"/>
    <w:rsid w:val="00AF4ED3"/>
    <w:rsid w:val="00AF51C0"/>
    <w:rsid w:val="00B00B5A"/>
    <w:rsid w:val="00B0501C"/>
    <w:rsid w:val="00B07131"/>
    <w:rsid w:val="00B107FB"/>
    <w:rsid w:val="00B249E0"/>
    <w:rsid w:val="00B303D5"/>
    <w:rsid w:val="00B33BEB"/>
    <w:rsid w:val="00B34354"/>
    <w:rsid w:val="00B356C9"/>
    <w:rsid w:val="00B3597D"/>
    <w:rsid w:val="00B3651F"/>
    <w:rsid w:val="00B40C0C"/>
    <w:rsid w:val="00B4266B"/>
    <w:rsid w:val="00B434BC"/>
    <w:rsid w:val="00B46A7C"/>
    <w:rsid w:val="00B516EE"/>
    <w:rsid w:val="00B53663"/>
    <w:rsid w:val="00B542A7"/>
    <w:rsid w:val="00B54A9C"/>
    <w:rsid w:val="00B618BC"/>
    <w:rsid w:val="00B62B45"/>
    <w:rsid w:val="00B67DED"/>
    <w:rsid w:val="00B748E5"/>
    <w:rsid w:val="00B83BFD"/>
    <w:rsid w:val="00B84300"/>
    <w:rsid w:val="00B86C5D"/>
    <w:rsid w:val="00B93362"/>
    <w:rsid w:val="00B93451"/>
    <w:rsid w:val="00B96997"/>
    <w:rsid w:val="00BA2FB8"/>
    <w:rsid w:val="00BA4DE5"/>
    <w:rsid w:val="00BA4FE2"/>
    <w:rsid w:val="00BA6439"/>
    <w:rsid w:val="00BA6916"/>
    <w:rsid w:val="00BB14DC"/>
    <w:rsid w:val="00BB2760"/>
    <w:rsid w:val="00BB36EE"/>
    <w:rsid w:val="00BB399C"/>
    <w:rsid w:val="00BB42B7"/>
    <w:rsid w:val="00BB498D"/>
    <w:rsid w:val="00BB7220"/>
    <w:rsid w:val="00BC0702"/>
    <w:rsid w:val="00BC1E57"/>
    <w:rsid w:val="00BC2A38"/>
    <w:rsid w:val="00BC2FE4"/>
    <w:rsid w:val="00BC3542"/>
    <w:rsid w:val="00BD0B7B"/>
    <w:rsid w:val="00BD165C"/>
    <w:rsid w:val="00BD2562"/>
    <w:rsid w:val="00BE1EAE"/>
    <w:rsid w:val="00BE627B"/>
    <w:rsid w:val="00BE694C"/>
    <w:rsid w:val="00BE6F87"/>
    <w:rsid w:val="00BF0F07"/>
    <w:rsid w:val="00BF4D16"/>
    <w:rsid w:val="00BF4EB6"/>
    <w:rsid w:val="00BF709D"/>
    <w:rsid w:val="00C026AC"/>
    <w:rsid w:val="00C0355F"/>
    <w:rsid w:val="00C040D2"/>
    <w:rsid w:val="00C062CA"/>
    <w:rsid w:val="00C06388"/>
    <w:rsid w:val="00C06CA5"/>
    <w:rsid w:val="00C06DC5"/>
    <w:rsid w:val="00C157DD"/>
    <w:rsid w:val="00C17C9A"/>
    <w:rsid w:val="00C2160E"/>
    <w:rsid w:val="00C21920"/>
    <w:rsid w:val="00C21988"/>
    <w:rsid w:val="00C25872"/>
    <w:rsid w:val="00C25CA3"/>
    <w:rsid w:val="00C26F98"/>
    <w:rsid w:val="00C27068"/>
    <w:rsid w:val="00C304C1"/>
    <w:rsid w:val="00C30A02"/>
    <w:rsid w:val="00C33DAA"/>
    <w:rsid w:val="00C36464"/>
    <w:rsid w:val="00C37383"/>
    <w:rsid w:val="00C4048C"/>
    <w:rsid w:val="00C44665"/>
    <w:rsid w:val="00C450E1"/>
    <w:rsid w:val="00C456EB"/>
    <w:rsid w:val="00C46DAD"/>
    <w:rsid w:val="00C51BF6"/>
    <w:rsid w:val="00C52F8A"/>
    <w:rsid w:val="00C5423C"/>
    <w:rsid w:val="00C5703E"/>
    <w:rsid w:val="00C57EDC"/>
    <w:rsid w:val="00C6057A"/>
    <w:rsid w:val="00C615DB"/>
    <w:rsid w:val="00C650CD"/>
    <w:rsid w:val="00C675DC"/>
    <w:rsid w:val="00C75C2E"/>
    <w:rsid w:val="00C772FA"/>
    <w:rsid w:val="00C8287B"/>
    <w:rsid w:val="00C86E52"/>
    <w:rsid w:val="00C92C65"/>
    <w:rsid w:val="00C96D6F"/>
    <w:rsid w:val="00C97C97"/>
    <w:rsid w:val="00CA2511"/>
    <w:rsid w:val="00CA6FF1"/>
    <w:rsid w:val="00CB2C08"/>
    <w:rsid w:val="00CB31F0"/>
    <w:rsid w:val="00CB5314"/>
    <w:rsid w:val="00CB7168"/>
    <w:rsid w:val="00CB7EAD"/>
    <w:rsid w:val="00CC5266"/>
    <w:rsid w:val="00CC63DE"/>
    <w:rsid w:val="00CC6916"/>
    <w:rsid w:val="00CC7BF6"/>
    <w:rsid w:val="00CD0F37"/>
    <w:rsid w:val="00CD50D3"/>
    <w:rsid w:val="00CD524E"/>
    <w:rsid w:val="00CD6FF0"/>
    <w:rsid w:val="00CD7E6E"/>
    <w:rsid w:val="00CE026B"/>
    <w:rsid w:val="00CE042C"/>
    <w:rsid w:val="00CE0F39"/>
    <w:rsid w:val="00CE0F5E"/>
    <w:rsid w:val="00CE208B"/>
    <w:rsid w:val="00CE24E1"/>
    <w:rsid w:val="00CE30D5"/>
    <w:rsid w:val="00CF17FA"/>
    <w:rsid w:val="00CF3280"/>
    <w:rsid w:val="00CF42BB"/>
    <w:rsid w:val="00CF6D71"/>
    <w:rsid w:val="00D00FDB"/>
    <w:rsid w:val="00D102DD"/>
    <w:rsid w:val="00D121DD"/>
    <w:rsid w:val="00D20E34"/>
    <w:rsid w:val="00D23DD4"/>
    <w:rsid w:val="00D24226"/>
    <w:rsid w:val="00D25E79"/>
    <w:rsid w:val="00D26758"/>
    <w:rsid w:val="00D27362"/>
    <w:rsid w:val="00D30998"/>
    <w:rsid w:val="00D30EDF"/>
    <w:rsid w:val="00D33655"/>
    <w:rsid w:val="00D3667D"/>
    <w:rsid w:val="00D43D0B"/>
    <w:rsid w:val="00D46EE6"/>
    <w:rsid w:val="00D47DB3"/>
    <w:rsid w:val="00D5144A"/>
    <w:rsid w:val="00D52694"/>
    <w:rsid w:val="00D633AB"/>
    <w:rsid w:val="00D63C2B"/>
    <w:rsid w:val="00D64421"/>
    <w:rsid w:val="00D66889"/>
    <w:rsid w:val="00D66DA5"/>
    <w:rsid w:val="00D67AC4"/>
    <w:rsid w:val="00D7014F"/>
    <w:rsid w:val="00D72E7F"/>
    <w:rsid w:val="00D73D6D"/>
    <w:rsid w:val="00D74922"/>
    <w:rsid w:val="00D752A7"/>
    <w:rsid w:val="00D76670"/>
    <w:rsid w:val="00D82AC2"/>
    <w:rsid w:val="00D83BE6"/>
    <w:rsid w:val="00D87EE4"/>
    <w:rsid w:val="00D90300"/>
    <w:rsid w:val="00D939CD"/>
    <w:rsid w:val="00D95433"/>
    <w:rsid w:val="00DA1A58"/>
    <w:rsid w:val="00DA2714"/>
    <w:rsid w:val="00DA2AFA"/>
    <w:rsid w:val="00DA2E45"/>
    <w:rsid w:val="00DA3610"/>
    <w:rsid w:val="00DA47E6"/>
    <w:rsid w:val="00DB1446"/>
    <w:rsid w:val="00DB2562"/>
    <w:rsid w:val="00DB2821"/>
    <w:rsid w:val="00DB5E80"/>
    <w:rsid w:val="00DB6096"/>
    <w:rsid w:val="00DC01E2"/>
    <w:rsid w:val="00DC3ADE"/>
    <w:rsid w:val="00DC3DB4"/>
    <w:rsid w:val="00DC4CEF"/>
    <w:rsid w:val="00DC624E"/>
    <w:rsid w:val="00DC7EC2"/>
    <w:rsid w:val="00DD001A"/>
    <w:rsid w:val="00DD02EB"/>
    <w:rsid w:val="00DD03EA"/>
    <w:rsid w:val="00DD1887"/>
    <w:rsid w:val="00DD205B"/>
    <w:rsid w:val="00DD3C21"/>
    <w:rsid w:val="00DD4AB1"/>
    <w:rsid w:val="00DD734C"/>
    <w:rsid w:val="00DD7C76"/>
    <w:rsid w:val="00DF0DD2"/>
    <w:rsid w:val="00DF21A8"/>
    <w:rsid w:val="00DF2A19"/>
    <w:rsid w:val="00DF30C1"/>
    <w:rsid w:val="00DF536F"/>
    <w:rsid w:val="00DF7857"/>
    <w:rsid w:val="00E01215"/>
    <w:rsid w:val="00E0318C"/>
    <w:rsid w:val="00E04A27"/>
    <w:rsid w:val="00E10966"/>
    <w:rsid w:val="00E11149"/>
    <w:rsid w:val="00E12320"/>
    <w:rsid w:val="00E13A9B"/>
    <w:rsid w:val="00E13D53"/>
    <w:rsid w:val="00E15E9F"/>
    <w:rsid w:val="00E16B41"/>
    <w:rsid w:val="00E2371D"/>
    <w:rsid w:val="00E24B86"/>
    <w:rsid w:val="00E2531F"/>
    <w:rsid w:val="00E274B2"/>
    <w:rsid w:val="00E319B1"/>
    <w:rsid w:val="00E347BD"/>
    <w:rsid w:val="00E36AED"/>
    <w:rsid w:val="00E416D0"/>
    <w:rsid w:val="00E45A7E"/>
    <w:rsid w:val="00E46FED"/>
    <w:rsid w:val="00E512EC"/>
    <w:rsid w:val="00E52B23"/>
    <w:rsid w:val="00E53D6A"/>
    <w:rsid w:val="00E544C6"/>
    <w:rsid w:val="00E54ACF"/>
    <w:rsid w:val="00E64823"/>
    <w:rsid w:val="00E6525B"/>
    <w:rsid w:val="00E665C0"/>
    <w:rsid w:val="00E668D4"/>
    <w:rsid w:val="00E670B4"/>
    <w:rsid w:val="00E671CE"/>
    <w:rsid w:val="00E709F5"/>
    <w:rsid w:val="00E71209"/>
    <w:rsid w:val="00E727A1"/>
    <w:rsid w:val="00E769C1"/>
    <w:rsid w:val="00E77B1B"/>
    <w:rsid w:val="00E80A5E"/>
    <w:rsid w:val="00E80B6B"/>
    <w:rsid w:val="00E8200F"/>
    <w:rsid w:val="00E8390C"/>
    <w:rsid w:val="00E8418A"/>
    <w:rsid w:val="00E94CEE"/>
    <w:rsid w:val="00E95881"/>
    <w:rsid w:val="00E97B5C"/>
    <w:rsid w:val="00EA0ECD"/>
    <w:rsid w:val="00EA464D"/>
    <w:rsid w:val="00EB3093"/>
    <w:rsid w:val="00EC0EBF"/>
    <w:rsid w:val="00ED2009"/>
    <w:rsid w:val="00ED49DD"/>
    <w:rsid w:val="00ED5158"/>
    <w:rsid w:val="00EE209A"/>
    <w:rsid w:val="00EE3AC2"/>
    <w:rsid w:val="00EE4EFA"/>
    <w:rsid w:val="00EF5AD9"/>
    <w:rsid w:val="00EF6614"/>
    <w:rsid w:val="00F01178"/>
    <w:rsid w:val="00F03D50"/>
    <w:rsid w:val="00F05BD2"/>
    <w:rsid w:val="00F07151"/>
    <w:rsid w:val="00F10B71"/>
    <w:rsid w:val="00F1409F"/>
    <w:rsid w:val="00F14891"/>
    <w:rsid w:val="00F164DA"/>
    <w:rsid w:val="00F20CA3"/>
    <w:rsid w:val="00F2155A"/>
    <w:rsid w:val="00F21C97"/>
    <w:rsid w:val="00F235C3"/>
    <w:rsid w:val="00F26625"/>
    <w:rsid w:val="00F274FC"/>
    <w:rsid w:val="00F306E4"/>
    <w:rsid w:val="00F33A62"/>
    <w:rsid w:val="00F3493C"/>
    <w:rsid w:val="00F357AC"/>
    <w:rsid w:val="00F35C2C"/>
    <w:rsid w:val="00F36CDA"/>
    <w:rsid w:val="00F4188A"/>
    <w:rsid w:val="00F43A46"/>
    <w:rsid w:val="00F47005"/>
    <w:rsid w:val="00F47FFA"/>
    <w:rsid w:val="00F503A8"/>
    <w:rsid w:val="00F50EF3"/>
    <w:rsid w:val="00F53AD2"/>
    <w:rsid w:val="00F53EF0"/>
    <w:rsid w:val="00F56546"/>
    <w:rsid w:val="00F5736D"/>
    <w:rsid w:val="00F633DB"/>
    <w:rsid w:val="00F63821"/>
    <w:rsid w:val="00F64655"/>
    <w:rsid w:val="00F712B2"/>
    <w:rsid w:val="00F71C46"/>
    <w:rsid w:val="00F73898"/>
    <w:rsid w:val="00F73F84"/>
    <w:rsid w:val="00F75376"/>
    <w:rsid w:val="00F76007"/>
    <w:rsid w:val="00F77F0B"/>
    <w:rsid w:val="00F82968"/>
    <w:rsid w:val="00F829FA"/>
    <w:rsid w:val="00F865EA"/>
    <w:rsid w:val="00F86FD9"/>
    <w:rsid w:val="00F90377"/>
    <w:rsid w:val="00F90549"/>
    <w:rsid w:val="00F94835"/>
    <w:rsid w:val="00F962F3"/>
    <w:rsid w:val="00F96B79"/>
    <w:rsid w:val="00F97374"/>
    <w:rsid w:val="00FA16F4"/>
    <w:rsid w:val="00FA2CE7"/>
    <w:rsid w:val="00FA6B8A"/>
    <w:rsid w:val="00FB179E"/>
    <w:rsid w:val="00FB3185"/>
    <w:rsid w:val="00FB5DE6"/>
    <w:rsid w:val="00FB6962"/>
    <w:rsid w:val="00FC0942"/>
    <w:rsid w:val="00FC15EC"/>
    <w:rsid w:val="00FC19E3"/>
    <w:rsid w:val="00FC368C"/>
    <w:rsid w:val="00FD0364"/>
    <w:rsid w:val="00FD4E8E"/>
    <w:rsid w:val="00FD7D28"/>
    <w:rsid w:val="00FE0071"/>
    <w:rsid w:val="00FE1B62"/>
    <w:rsid w:val="00FE4F24"/>
    <w:rsid w:val="00FF0221"/>
    <w:rsid w:val="00FF0E82"/>
    <w:rsid w:val="00FF1921"/>
    <w:rsid w:val="00FF2FB0"/>
    <w:rsid w:val="00FF37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4D7FEE"/>
    <w:pPr>
      <w:spacing w:before="80" w:after="120"/>
      <w:jc w:val="both"/>
    </w:pPr>
    <w:rPr>
      <w:rFonts w:asciiTheme="minorHAnsi" w:hAnsiTheme="minorHAnsi"/>
      <w:sz w:val="22"/>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407719"/>
    <w:pPr>
      <w:keepNext/>
      <w:keepLines/>
      <w:numPr>
        <w:ilvl w:val="1"/>
        <w:numId w:val="1"/>
      </w:numPr>
      <w:autoSpaceDE w:val="0"/>
      <w:autoSpaceDN w:val="0"/>
      <w:adjustRightInd w:val="0"/>
      <w:spacing w:before="120"/>
      <w:ind w:left="567" w:hanging="567"/>
      <w:outlineLvl w:val="1"/>
    </w:pPr>
    <w:rPr>
      <w:rFonts w:ascii="Segoe UI Semibold" w:eastAsiaTheme="majorEastAsia" w:hAnsi="Segoe UI Semibold" w:cs="Segoe UI"/>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B40C0C"/>
    <w:rPr>
      <w:rFonts w:eastAsiaTheme="majorEastAsia" w:cs="Segoe UI"/>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AD2441"/>
    <w:pPr>
      <w:spacing w:before="60" w:after="360" w:line="240" w:lineRule="auto"/>
      <w:jc w:val="center"/>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4D7FEE"/>
    <w:pPr>
      <w:spacing w:before="80" w:after="120"/>
      <w:jc w:val="both"/>
    </w:pPr>
    <w:rPr>
      <w:rFonts w:asciiTheme="minorHAnsi" w:hAnsiTheme="minorHAnsi"/>
      <w:sz w:val="22"/>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407719"/>
    <w:pPr>
      <w:keepNext/>
      <w:keepLines/>
      <w:numPr>
        <w:ilvl w:val="1"/>
        <w:numId w:val="1"/>
      </w:numPr>
      <w:autoSpaceDE w:val="0"/>
      <w:autoSpaceDN w:val="0"/>
      <w:adjustRightInd w:val="0"/>
      <w:spacing w:before="120"/>
      <w:ind w:left="567" w:hanging="567"/>
      <w:outlineLvl w:val="1"/>
    </w:pPr>
    <w:rPr>
      <w:rFonts w:ascii="Segoe UI Semibold" w:eastAsiaTheme="majorEastAsia" w:hAnsi="Segoe UI Semibold" w:cs="Segoe UI"/>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B40C0C"/>
    <w:rPr>
      <w:rFonts w:eastAsiaTheme="majorEastAsia" w:cs="Segoe UI"/>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AD2441"/>
    <w:pPr>
      <w:spacing w:before="60" w:after="360" w:line="240" w:lineRule="auto"/>
      <w:jc w:val="center"/>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3">
      <w:bodyDiv w:val="1"/>
      <w:marLeft w:val="0"/>
      <w:marRight w:val="0"/>
      <w:marTop w:val="0"/>
      <w:marBottom w:val="0"/>
      <w:divBdr>
        <w:top w:val="none" w:sz="0" w:space="0" w:color="auto"/>
        <w:left w:val="none" w:sz="0" w:space="0" w:color="auto"/>
        <w:bottom w:val="none" w:sz="0" w:space="0" w:color="auto"/>
        <w:right w:val="none" w:sz="0" w:space="0" w:color="auto"/>
      </w:divBdr>
    </w:div>
    <w:div w:id="8215074">
      <w:bodyDiv w:val="1"/>
      <w:marLeft w:val="0"/>
      <w:marRight w:val="0"/>
      <w:marTop w:val="0"/>
      <w:marBottom w:val="0"/>
      <w:divBdr>
        <w:top w:val="none" w:sz="0" w:space="0" w:color="auto"/>
        <w:left w:val="none" w:sz="0" w:space="0" w:color="auto"/>
        <w:bottom w:val="none" w:sz="0" w:space="0" w:color="auto"/>
        <w:right w:val="none" w:sz="0" w:space="0" w:color="auto"/>
      </w:divBdr>
    </w:div>
    <w:div w:id="11033070">
      <w:bodyDiv w:val="1"/>
      <w:marLeft w:val="0"/>
      <w:marRight w:val="0"/>
      <w:marTop w:val="0"/>
      <w:marBottom w:val="0"/>
      <w:divBdr>
        <w:top w:val="none" w:sz="0" w:space="0" w:color="auto"/>
        <w:left w:val="none" w:sz="0" w:space="0" w:color="auto"/>
        <w:bottom w:val="none" w:sz="0" w:space="0" w:color="auto"/>
        <w:right w:val="none" w:sz="0" w:space="0" w:color="auto"/>
      </w:divBdr>
    </w:div>
    <w:div w:id="16007904">
      <w:bodyDiv w:val="1"/>
      <w:marLeft w:val="0"/>
      <w:marRight w:val="0"/>
      <w:marTop w:val="0"/>
      <w:marBottom w:val="0"/>
      <w:divBdr>
        <w:top w:val="none" w:sz="0" w:space="0" w:color="auto"/>
        <w:left w:val="none" w:sz="0" w:space="0" w:color="auto"/>
        <w:bottom w:val="none" w:sz="0" w:space="0" w:color="auto"/>
        <w:right w:val="none" w:sz="0" w:space="0" w:color="auto"/>
      </w:divBdr>
    </w:div>
    <w:div w:id="16081070">
      <w:bodyDiv w:val="1"/>
      <w:marLeft w:val="0"/>
      <w:marRight w:val="0"/>
      <w:marTop w:val="0"/>
      <w:marBottom w:val="0"/>
      <w:divBdr>
        <w:top w:val="none" w:sz="0" w:space="0" w:color="auto"/>
        <w:left w:val="none" w:sz="0" w:space="0" w:color="auto"/>
        <w:bottom w:val="none" w:sz="0" w:space="0" w:color="auto"/>
        <w:right w:val="none" w:sz="0" w:space="0" w:color="auto"/>
      </w:divBdr>
    </w:div>
    <w:div w:id="17658062">
      <w:bodyDiv w:val="1"/>
      <w:marLeft w:val="0"/>
      <w:marRight w:val="0"/>
      <w:marTop w:val="0"/>
      <w:marBottom w:val="0"/>
      <w:divBdr>
        <w:top w:val="none" w:sz="0" w:space="0" w:color="auto"/>
        <w:left w:val="none" w:sz="0" w:space="0" w:color="auto"/>
        <w:bottom w:val="none" w:sz="0" w:space="0" w:color="auto"/>
        <w:right w:val="none" w:sz="0" w:space="0" w:color="auto"/>
      </w:divBdr>
    </w:div>
    <w:div w:id="17895531">
      <w:bodyDiv w:val="1"/>
      <w:marLeft w:val="0"/>
      <w:marRight w:val="0"/>
      <w:marTop w:val="0"/>
      <w:marBottom w:val="0"/>
      <w:divBdr>
        <w:top w:val="none" w:sz="0" w:space="0" w:color="auto"/>
        <w:left w:val="none" w:sz="0" w:space="0" w:color="auto"/>
        <w:bottom w:val="none" w:sz="0" w:space="0" w:color="auto"/>
        <w:right w:val="none" w:sz="0" w:space="0" w:color="auto"/>
      </w:divBdr>
    </w:div>
    <w:div w:id="32509939">
      <w:bodyDiv w:val="1"/>
      <w:marLeft w:val="0"/>
      <w:marRight w:val="0"/>
      <w:marTop w:val="0"/>
      <w:marBottom w:val="0"/>
      <w:divBdr>
        <w:top w:val="none" w:sz="0" w:space="0" w:color="auto"/>
        <w:left w:val="none" w:sz="0" w:space="0" w:color="auto"/>
        <w:bottom w:val="none" w:sz="0" w:space="0" w:color="auto"/>
        <w:right w:val="none" w:sz="0" w:space="0" w:color="auto"/>
      </w:divBdr>
    </w:div>
    <w:div w:id="42487980">
      <w:bodyDiv w:val="1"/>
      <w:marLeft w:val="0"/>
      <w:marRight w:val="0"/>
      <w:marTop w:val="0"/>
      <w:marBottom w:val="0"/>
      <w:divBdr>
        <w:top w:val="none" w:sz="0" w:space="0" w:color="auto"/>
        <w:left w:val="none" w:sz="0" w:space="0" w:color="auto"/>
        <w:bottom w:val="none" w:sz="0" w:space="0" w:color="auto"/>
        <w:right w:val="none" w:sz="0" w:space="0" w:color="auto"/>
      </w:divBdr>
    </w:div>
    <w:div w:id="48070605">
      <w:bodyDiv w:val="1"/>
      <w:marLeft w:val="0"/>
      <w:marRight w:val="0"/>
      <w:marTop w:val="0"/>
      <w:marBottom w:val="0"/>
      <w:divBdr>
        <w:top w:val="none" w:sz="0" w:space="0" w:color="auto"/>
        <w:left w:val="none" w:sz="0" w:space="0" w:color="auto"/>
        <w:bottom w:val="none" w:sz="0" w:space="0" w:color="auto"/>
        <w:right w:val="none" w:sz="0" w:space="0" w:color="auto"/>
      </w:divBdr>
    </w:div>
    <w:div w:id="94638917">
      <w:bodyDiv w:val="1"/>
      <w:marLeft w:val="0"/>
      <w:marRight w:val="0"/>
      <w:marTop w:val="0"/>
      <w:marBottom w:val="0"/>
      <w:divBdr>
        <w:top w:val="none" w:sz="0" w:space="0" w:color="auto"/>
        <w:left w:val="none" w:sz="0" w:space="0" w:color="auto"/>
        <w:bottom w:val="none" w:sz="0" w:space="0" w:color="auto"/>
        <w:right w:val="none" w:sz="0" w:space="0" w:color="auto"/>
      </w:divBdr>
    </w:div>
    <w:div w:id="98839793">
      <w:bodyDiv w:val="1"/>
      <w:marLeft w:val="0"/>
      <w:marRight w:val="0"/>
      <w:marTop w:val="0"/>
      <w:marBottom w:val="0"/>
      <w:divBdr>
        <w:top w:val="none" w:sz="0" w:space="0" w:color="auto"/>
        <w:left w:val="none" w:sz="0" w:space="0" w:color="auto"/>
        <w:bottom w:val="none" w:sz="0" w:space="0" w:color="auto"/>
        <w:right w:val="none" w:sz="0" w:space="0" w:color="auto"/>
      </w:divBdr>
    </w:div>
    <w:div w:id="114719467">
      <w:bodyDiv w:val="1"/>
      <w:marLeft w:val="0"/>
      <w:marRight w:val="0"/>
      <w:marTop w:val="0"/>
      <w:marBottom w:val="0"/>
      <w:divBdr>
        <w:top w:val="none" w:sz="0" w:space="0" w:color="auto"/>
        <w:left w:val="none" w:sz="0" w:space="0" w:color="auto"/>
        <w:bottom w:val="none" w:sz="0" w:space="0" w:color="auto"/>
        <w:right w:val="none" w:sz="0" w:space="0" w:color="auto"/>
      </w:divBdr>
    </w:div>
    <w:div w:id="117991731">
      <w:bodyDiv w:val="1"/>
      <w:marLeft w:val="0"/>
      <w:marRight w:val="0"/>
      <w:marTop w:val="0"/>
      <w:marBottom w:val="0"/>
      <w:divBdr>
        <w:top w:val="none" w:sz="0" w:space="0" w:color="auto"/>
        <w:left w:val="none" w:sz="0" w:space="0" w:color="auto"/>
        <w:bottom w:val="none" w:sz="0" w:space="0" w:color="auto"/>
        <w:right w:val="none" w:sz="0" w:space="0" w:color="auto"/>
      </w:divBdr>
    </w:div>
    <w:div w:id="122162138">
      <w:bodyDiv w:val="1"/>
      <w:marLeft w:val="0"/>
      <w:marRight w:val="0"/>
      <w:marTop w:val="0"/>
      <w:marBottom w:val="0"/>
      <w:divBdr>
        <w:top w:val="none" w:sz="0" w:space="0" w:color="auto"/>
        <w:left w:val="none" w:sz="0" w:space="0" w:color="auto"/>
        <w:bottom w:val="none" w:sz="0" w:space="0" w:color="auto"/>
        <w:right w:val="none" w:sz="0" w:space="0" w:color="auto"/>
      </w:divBdr>
    </w:div>
    <w:div w:id="156963886">
      <w:bodyDiv w:val="1"/>
      <w:marLeft w:val="0"/>
      <w:marRight w:val="0"/>
      <w:marTop w:val="0"/>
      <w:marBottom w:val="0"/>
      <w:divBdr>
        <w:top w:val="none" w:sz="0" w:space="0" w:color="auto"/>
        <w:left w:val="none" w:sz="0" w:space="0" w:color="auto"/>
        <w:bottom w:val="none" w:sz="0" w:space="0" w:color="auto"/>
        <w:right w:val="none" w:sz="0" w:space="0" w:color="auto"/>
      </w:divBdr>
    </w:div>
    <w:div w:id="157424199">
      <w:bodyDiv w:val="1"/>
      <w:marLeft w:val="0"/>
      <w:marRight w:val="0"/>
      <w:marTop w:val="0"/>
      <w:marBottom w:val="0"/>
      <w:divBdr>
        <w:top w:val="none" w:sz="0" w:space="0" w:color="auto"/>
        <w:left w:val="none" w:sz="0" w:space="0" w:color="auto"/>
        <w:bottom w:val="none" w:sz="0" w:space="0" w:color="auto"/>
        <w:right w:val="none" w:sz="0" w:space="0" w:color="auto"/>
      </w:divBdr>
    </w:div>
    <w:div w:id="167524176">
      <w:bodyDiv w:val="1"/>
      <w:marLeft w:val="0"/>
      <w:marRight w:val="0"/>
      <w:marTop w:val="0"/>
      <w:marBottom w:val="0"/>
      <w:divBdr>
        <w:top w:val="none" w:sz="0" w:space="0" w:color="auto"/>
        <w:left w:val="none" w:sz="0" w:space="0" w:color="auto"/>
        <w:bottom w:val="none" w:sz="0" w:space="0" w:color="auto"/>
        <w:right w:val="none" w:sz="0" w:space="0" w:color="auto"/>
      </w:divBdr>
    </w:div>
    <w:div w:id="170678489">
      <w:bodyDiv w:val="1"/>
      <w:marLeft w:val="0"/>
      <w:marRight w:val="0"/>
      <w:marTop w:val="0"/>
      <w:marBottom w:val="0"/>
      <w:divBdr>
        <w:top w:val="none" w:sz="0" w:space="0" w:color="auto"/>
        <w:left w:val="none" w:sz="0" w:space="0" w:color="auto"/>
        <w:bottom w:val="none" w:sz="0" w:space="0" w:color="auto"/>
        <w:right w:val="none" w:sz="0" w:space="0" w:color="auto"/>
      </w:divBdr>
    </w:div>
    <w:div w:id="171722131">
      <w:bodyDiv w:val="1"/>
      <w:marLeft w:val="0"/>
      <w:marRight w:val="0"/>
      <w:marTop w:val="0"/>
      <w:marBottom w:val="0"/>
      <w:divBdr>
        <w:top w:val="none" w:sz="0" w:space="0" w:color="auto"/>
        <w:left w:val="none" w:sz="0" w:space="0" w:color="auto"/>
        <w:bottom w:val="none" w:sz="0" w:space="0" w:color="auto"/>
        <w:right w:val="none" w:sz="0" w:space="0" w:color="auto"/>
      </w:divBdr>
    </w:div>
    <w:div w:id="176698304">
      <w:bodyDiv w:val="1"/>
      <w:marLeft w:val="0"/>
      <w:marRight w:val="0"/>
      <w:marTop w:val="0"/>
      <w:marBottom w:val="0"/>
      <w:divBdr>
        <w:top w:val="none" w:sz="0" w:space="0" w:color="auto"/>
        <w:left w:val="none" w:sz="0" w:space="0" w:color="auto"/>
        <w:bottom w:val="none" w:sz="0" w:space="0" w:color="auto"/>
        <w:right w:val="none" w:sz="0" w:space="0" w:color="auto"/>
      </w:divBdr>
    </w:div>
    <w:div w:id="178473278">
      <w:bodyDiv w:val="1"/>
      <w:marLeft w:val="0"/>
      <w:marRight w:val="0"/>
      <w:marTop w:val="0"/>
      <w:marBottom w:val="0"/>
      <w:divBdr>
        <w:top w:val="none" w:sz="0" w:space="0" w:color="auto"/>
        <w:left w:val="none" w:sz="0" w:space="0" w:color="auto"/>
        <w:bottom w:val="none" w:sz="0" w:space="0" w:color="auto"/>
        <w:right w:val="none" w:sz="0" w:space="0" w:color="auto"/>
      </w:divBdr>
    </w:div>
    <w:div w:id="183790611">
      <w:bodyDiv w:val="1"/>
      <w:marLeft w:val="0"/>
      <w:marRight w:val="0"/>
      <w:marTop w:val="0"/>
      <w:marBottom w:val="0"/>
      <w:divBdr>
        <w:top w:val="none" w:sz="0" w:space="0" w:color="auto"/>
        <w:left w:val="none" w:sz="0" w:space="0" w:color="auto"/>
        <w:bottom w:val="none" w:sz="0" w:space="0" w:color="auto"/>
        <w:right w:val="none" w:sz="0" w:space="0" w:color="auto"/>
      </w:divBdr>
    </w:div>
    <w:div w:id="201744607">
      <w:bodyDiv w:val="1"/>
      <w:marLeft w:val="0"/>
      <w:marRight w:val="0"/>
      <w:marTop w:val="0"/>
      <w:marBottom w:val="0"/>
      <w:divBdr>
        <w:top w:val="none" w:sz="0" w:space="0" w:color="auto"/>
        <w:left w:val="none" w:sz="0" w:space="0" w:color="auto"/>
        <w:bottom w:val="none" w:sz="0" w:space="0" w:color="auto"/>
        <w:right w:val="none" w:sz="0" w:space="0" w:color="auto"/>
      </w:divBdr>
    </w:div>
    <w:div w:id="204174032">
      <w:bodyDiv w:val="1"/>
      <w:marLeft w:val="0"/>
      <w:marRight w:val="0"/>
      <w:marTop w:val="0"/>
      <w:marBottom w:val="0"/>
      <w:divBdr>
        <w:top w:val="none" w:sz="0" w:space="0" w:color="auto"/>
        <w:left w:val="none" w:sz="0" w:space="0" w:color="auto"/>
        <w:bottom w:val="none" w:sz="0" w:space="0" w:color="auto"/>
        <w:right w:val="none" w:sz="0" w:space="0" w:color="auto"/>
      </w:divBdr>
    </w:div>
    <w:div w:id="206071508">
      <w:bodyDiv w:val="1"/>
      <w:marLeft w:val="0"/>
      <w:marRight w:val="0"/>
      <w:marTop w:val="0"/>
      <w:marBottom w:val="0"/>
      <w:divBdr>
        <w:top w:val="none" w:sz="0" w:space="0" w:color="auto"/>
        <w:left w:val="none" w:sz="0" w:space="0" w:color="auto"/>
        <w:bottom w:val="none" w:sz="0" w:space="0" w:color="auto"/>
        <w:right w:val="none" w:sz="0" w:space="0" w:color="auto"/>
      </w:divBdr>
    </w:div>
    <w:div w:id="210459383">
      <w:bodyDiv w:val="1"/>
      <w:marLeft w:val="0"/>
      <w:marRight w:val="0"/>
      <w:marTop w:val="0"/>
      <w:marBottom w:val="0"/>
      <w:divBdr>
        <w:top w:val="none" w:sz="0" w:space="0" w:color="auto"/>
        <w:left w:val="none" w:sz="0" w:space="0" w:color="auto"/>
        <w:bottom w:val="none" w:sz="0" w:space="0" w:color="auto"/>
        <w:right w:val="none" w:sz="0" w:space="0" w:color="auto"/>
      </w:divBdr>
    </w:div>
    <w:div w:id="211231271">
      <w:bodyDiv w:val="1"/>
      <w:marLeft w:val="0"/>
      <w:marRight w:val="0"/>
      <w:marTop w:val="0"/>
      <w:marBottom w:val="0"/>
      <w:divBdr>
        <w:top w:val="none" w:sz="0" w:space="0" w:color="auto"/>
        <w:left w:val="none" w:sz="0" w:space="0" w:color="auto"/>
        <w:bottom w:val="none" w:sz="0" w:space="0" w:color="auto"/>
        <w:right w:val="none" w:sz="0" w:space="0" w:color="auto"/>
      </w:divBdr>
    </w:div>
    <w:div w:id="220409806">
      <w:bodyDiv w:val="1"/>
      <w:marLeft w:val="0"/>
      <w:marRight w:val="0"/>
      <w:marTop w:val="0"/>
      <w:marBottom w:val="0"/>
      <w:divBdr>
        <w:top w:val="none" w:sz="0" w:space="0" w:color="auto"/>
        <w:left w:val="none" w:sz="0" w:space="0" w:color="auto"/>
        <w:bottom w:val="none" w:sz="0" w:space="0" w:color="auto"/>
        <w:right w:val="none" w:sz="0" w:space="0" w:color="auto"/>
      </w:divBdr>
    </w:div>
    <w:div w:id="233468304">
      <w:bodyDiv w:val="1"/>
      <w:marLeft w:val="0"/>
      <w:marRight w:val="0"/>
      <w:marTop w:val="0"/>
      <w:marBottom w:val="0"/>
      <w:divBdr>
        <w:top w:val="none" w:sz="0" w:space="0" w:color="auto"/>
        <w:left w:val="none" w:sz="0" w:space="0" w:color="auto"/>
        <w:bottom w:val="none" w:sz="0" w:space="0" w:color="auto"/>
        <w:right w:val="none" w:sz="0" w:space="0" w:color="auto"/>
      </w:divBdr>
    </w:div>
    <w:div w:id="242379727">
      <w:bodyDiv w:val="1"/>
      <w:marLeft w:val="0"/>
      <w:marRight w:val="0"/>
      <w:marTop w:val="0"/>
      <w:marBottom w:val="0"/>
      <w:divBdr>
        <w:top w:val="none" w:sz="0" w:space="0" w:color="auto"/>
        <w:left w:val="none" w:sz="0" w:space="0" w:color="auto"/>
        <w:bottom w:val="none" w:sz="0" w:space="0" w:color="auto"/>
        <w:right w:val="none" w:sz="0" w:space="0" w:color="auto"/>
      </w:divBdr>
    </w:div>
    <w:div w:id="243537306">
      <w:bodyDiv w:val="1"/>
      <w:marLeft w:val="0"/>
      <w:marRight w:val="0"/>
      <w:marTop w:val="0"/>
      <w:marBottom w:val="0"/>
      <w:divBdr>
        <w:top w:val="none" w:sz="0" w:space="0" w:color="auto"/>
        <w:left w:val="none" w:sz="0" w:space="0" w:color="auto"/>
        <w:bottom w:val="none" w:sz="0" w:space="0" w:color="auto"/>
        <w:right w:val="none" w:sz="0" w:space="0" w:color="auto"/>
      </w:divBdr>
    </w:div>
    <w:div w:id="252469063">
      <w:bodyDiv w:val="1"/>
      <w:marLeft w:val="0"/>
      <w:marRight w:val="0"/>
      <w:marTop w:val="0"/>
      <w:marBottom w:val="0"/>
      <w:divBdr>
        <w:top w:val="none" w:sz="0" w:space="0" w:color="auto"/>
        <w:left w:val="none" w:sz="0" w:space="0" w:color="auto"/>
        <w:bottom w:val="none" w:sz="0" w:space="0" w:color="auto"/>
        <w:right w:val="none" w:sz="0" w:space="0" w:color="auto"/>
      </w:divBdr>
    </w:div>
    <w:div w:id="255674588">
      <w:bodyDiv w:val="1"/>
      <w:marLeft w:val="0"/>
      <w:marRight w:val="0"/>
      <w:marTop w:val="0"/>
      <w:marBottom w:val="0"/>
      <w:divBdr>
        <w:top w:val="none" w:sz="0" w:space="0" w:color="auto"/>
        <w:left w:val="none" w:sz="0" w:space="0" w:color="auto"/>
        <w:bottom w:val="none" w:sz="0" w:space="0" w:color="auto"/>
        <w:right w:val="none" w:sz="0" w:space="0" w:color="auto"/>
      </w:divBdr>
    </w:div>
    <w:div w:id="259410785">
      <w:bodyDiv w:val="1"/>
      <w:marLeft w:val="0"/>
      <w:marRight w:val="0"/>
      <w:marTop w:val="0"/>
      <w:marBottom w:val="0"/>
      <w:divBdr>
        <w:top w:val="none" w:sz="0" w:space="0" w:color="auto"/>
        <w:left w:val="none" w:sz="0" w:space="0" w:color="auto"/>
        <w:bottom w:val="none" w:sz="0" w:space="0" w:color="auto"/>
        <w:right w:val="none" w:sz="0" w:space="0" w:color="auto"/>
      </w:divBdr>
    </w:div>
    <w:div w:id="261839782">
      <w:bodyDiv w:val="1"/>
      <w:marLeft w:val="0"/>
      <w:marRight w:val="0"/>
      <w:marTop w:val="0"/>
      <w:marBottom w:val="0"/>
      <w:divBdr>
        <w:top w:val="none" w:sz="0" w:space="0" w:color="auto"/>
        <w:left w:val="none" w:sz="0" w:space="0" w:color="auto"/>
        <w:bottom w:val="none" w:sz="0" w:space="0" w:color="auto"/>
        <w:right w:val="none" w:sz="0" w:space="0" w:color="auto"/>
      </w:divBdr>
    </w:div>
    <w:div w:id="267584143">
      <w:bodyDiv w:val="1"/>
      <w:marLeft w:val="0"/>
      <w:marRight w:val="0"/>
      <w:marTop w:val="0"/>
      <w:marBottom w:val="0"/>
      <w:divBdr>
        <w:top w:val="none" w:sz="0" w:space="0" w:color="auto"/>
        <w:left w:val="none" w:sz="0" w:space="0" w:color="auto"/>
        <w:bottom w:val="none" w:sz="0" w:space="0" w:color="auto"/>
        <w:right w:val="none" w:sz="0" w:space="0" w:color="auto"/>
      </w:divBdr>
    </w:div>
    <w:div w:id="269969616">
      <w:bodyDiv w:val="1"/>
      <w:marLeft w:val="0"/>
      <w:marRight w:val="0"/>
      <w:marTop w:val="0"/>
      <w:marBottom w:val="0"/>
      <w:divBdr>
        <w:top w:val="none" w:sz="0" w:space="0" w:color="auto"/>
        <w:left w:val="none" w:sz="0" w:space="0" w:color="auto"/>
        <w:bottom w:val="none" w:sz="0" w:space="0" w:color="auto"/>
        <w:right w:val="none" w:sz="0" w:space="0" w:color="auto"/>
      </w:divBdr>
    </w:div>
    <w:div w:id="301620705">
      <w:bodyDiv w:val="1"/>
      <w:marLeft w:val="0"/>
      <w:marRight w:val="0"/>
      <w:marTop w:val="0"/>
      <w:marBottom w:val="0"/>
      <w:divBdr>
        <w:top w:val="none" w:sz="0" w:space="0" w:color="auto"/>
        <w:left w:val="none" w:sz="0" w:space="0" w:color="auto"/>
        <w:bottom w:val="none" w:sz="0" w:space="0" w:color="auto"/>
        <w:right w:val="none" w:sz="0" w:space="0" w:color="auto"/>
      </w:divBdr>
    </w:div>
    <w:div w:id="302663952">
      <w:bodyDiv w:val="1"/>
      <w:marLeft w:val="0"/>
      <w:marRight w:val="0"/>
      <w:marTop w:val="0"/>
      <w:marBottom w:val="0"/>
      <w:divBdr>
        <w:top w:val="none" w:sz="0" w:space="0" w:color="auto"/>
        <w:left w:val="none" w:sz="0" w:space="0" w:color="auto"/>
        <w:bottom w:val="none" w:sz="0" w:space="0" w:color="auto"/>
        <w:right w:val="none" w:sz="0" w:space="0" w:color="auto"/>
      </w:divBdr>
    </w:div>
    <w:div w:id="332030979">
      <w:bodyDiv w:val="1"/>
      <w:marLeft w:val="0"/>
      <w:marRight w:val="0"/>
      <w:marTop w:val="0"/>
      <w:marBottom w:val="0"/>
      <w:divBdr>
        <w:top w:val="none" w:sz="0" w:space="0" w:color="auto"/>
        <w:left w:val="none" w:sz="0" w:space="0" w:color="auto"/>
        <w:bottom w:val="none" w:sz="0" w:space="0" w:color="auto"/>
        <w:right w:val="none" w:sz="0" w:space="0" w:color="auto"/>
      </w:divBdr>
    </w:div>
    <w:div w:id="333998994">
      <w:bodyDiv w:val="1"/>
      <w:marLeft w:val="0"/>
      <w:marRight w:val="0"/>
      <w:marTop w:val="0"/>
      <w:marBottom w:val="0"/>
      <w:divBdr>
        <w:top w:val="none" w:sz="0" w:space="0" w:color="auto"/>
        <w:left w:val="none" w:sz="0" w:space="0" w:color="auto"/>
        <w:bottom w:val="none" w:sz="0" w:space="0" w:color="auto"/>
        <w:right w:val="none" w:sz="0" w:space="0" w:color="auto"/>
      </w:divBdr>
    </w:div>
    <w:div w:id="339356445">
      <w:bodyDiv w:val="1"/>
      <w:marLeft w:val="0"/>
      <w:marRight w:val="0"/>
      <w:marTop w:val="0"/>
      <w:marBottom w:val="0"/>
      <w:divBdr>
        <w:top w:val="none" w:sz="0" w:space="0" w:color="auto"/>
        <w:left w:val="none" w:sz="0" w:space="0" w:color="auto"/>
        <w:bottom w:val="none" w:sz="0" w:space="0" w:color="auto"/>
        <w:right w:val="none" w:sz="0" w:space="0" w:color="auto"/>
      </w:divBdr>
    </w:div>
    <w:div w:id="349142132">
      <w:bodyDiv w:val="1"/>
      <w:marLeft w:val="0"/>
      <w:marRight w:val="0"/>
      <w:marTop w:val="0"/>
      <w:marBottom w:val="0"/>
      <w:divBdr>
        <w:top w:val="none" w:sz="0" w:space="0" w:color="auto"/>
        <w:left w:val="none" w:sz="0" w:space="0" w:color="auto"/>
        <w:bottom w:val="none" w:sz="0" w:space="0" w:color="auto"/>
        <w:right w:val="none" w:sz="0" w:space="0" w:color="auto"/>
      </w:divBdr>
    </w:div>
    <w:div w:id="356976869">
      <w:bodyDiv w:val="1"/>
      <w:marLeft w:val="0"/>
      <w:marRight w:val="0"/>
      <w:marTop w:val="0"/>
      <w:marBottom w:val="0"/>
      <w:divBdr>
        <w:top w:val="none" w:sz="0" w:space="0" w:color="auto"/>
        <w:left w:val="none" w:sz="0" w:space="0" w:color="auto"/>
        <w:bottom w:val="none" w:sz="0" w:space="0" w:color="auto"/>
        <w:right w:val="none" w:sz="0" w:space="0" w:color="auto"/>
      </w:divBdr>
    </w:div>
    <w:div w:id="370308853">
      <w:bodyDiv w:val="1"/>
      <w:marLeft w:val="0"/>
      <w:marRight w:val="0"/>
      <w:marTop w:val="0"/>
      <w:marBottom w:val="0"/>
      <w:divBdr>
        <w:top w:val="none" w:sz="0" w:space="0" w:color="auto"/>
        <w:left w:val="none" w:sz="0" w:space="0" w:color="auto"/>
        <w:bottom w:val="none" w:sz="0" w:space="0" w:color="auto"/>
        <w:right w:val="none" w:sz="0" w:space="0" w:color="auto"/>
      </w:divBdr>
    </w:div>
    <w:div w:id="380520407">
      <w:bodyDiv w:val="1"/>
      <w:marLeft w:val="0"/>
      <w:marRight w:val="0"/>
      <w:marTop w:val="0"/>
      <w:marBottom w:val="0"/>
      <w:divBdr>
        <w:top w:val="none" w:sz="0" w:space="0" w:color="auto"/>
        <w:left w:val="none" w:sz="0" w:space="0" w:color="auto"/>
        <w:bottom w:val="none" w:sz="0" w:space="0" w:color="auto"/>
        <w:right w:val="none" w:sz="0" w:space="0" w:color="auto"/>
      </w:divBdr>
    </w:div>
    <w:div w:id="391193794">
      <w:bodyDiv w:val="1"/>
      <w:marLeft w:val="0"/>
      <w:marRight w:val="0"/>
      <w:marTop w:val="0"/>
      <w:marBottom w:val="0"/>
      <w:divBdr>
        <w:top w:val="none" w:sz="0" w:space="0" w:color="auto"/>
        <w:left w:val="none" w:sz="0" w:space="0" w:color="auto"/>
        <w:bottom w:val="none" w:sz="0" w:space="0" w:color="auto"/>
        <w:right w:val="none" w:sz="0" w:space="0" w:color="auto"/>
      </w:divBdr>
    </w:div>
    <w:div w:id="393167903">
      <w:bodyDiv w:val="1"/>
      <w:marLeft w:val="0"/>
      <w:marRight w:val="0"/>
      <w:marTop w:val="0"/>
      <w:marBottom w:val="0"/>
      <w:divBdr>
        <w:top w:val="none" w:sz="0" w:space="0" w:color="auto"/>
        <w:left w:val="none" w:sz="0" w:space="0" w:color="auto"/>
        <w:bottom w:val="none" w:sz="0" w:space="0" w:color="auto"/>
        <w:right w:val="none" w:sz="0" w:space="0" w:color="auto"/>
      </w:divBdr>
    </w:div>
    <w:div w:id="401559123">
      <w:bodyDiv w:val="1"/>
      <w:marLeft w:val="0"/>
      <w:marRight w:val="0"/>
      <w:marTop w:val="0"/>
      <w:marBottom w:val="0"/>
      <w:divBdr>
        <w:top w:val="none" w:sz="0" w:space="0" w:color="auto"/>
        <w:left w:val="none" w:sz="0" w:space="0" w:color="auto"/>
        <w:bottom w:val="none" w:sz="0" w:space="0" w:color="auto"/>
        <w:right w:val="none" w:sz="0" w:space="0" w:color="auto"/>
      </w:divBdr>
    </w:div>
    <w:div w:id="415176970">
      <w:bodyDiv w:val="1"/>
      <w:marLeft w:val="0"/>
      <w:marRight w:val="0"/>
      <w:marTop w:val="0"/>
      <w:marBottom w:val="0"/>
      <w:divBdr>
        <w:top w:val="none" w:sz="0" w:space="0" w:color="auto"/>
        <w:left w:val="none" w:sz="0" w:space="0" w:color="auto"/>
        <w:bottom w:val="none" w:sz="0" w:space="0" w:color="auto"/>
        <w:right w:val="none" w:sz="0" w:space="0" w:color="auto"/>
      </w:divBdr>
    </w:div>
    <w:div w:id="421679204">
      <w:bodyDiv w:val="1"/>
      <w:marLeft w:val="0"/>
      <w:marRight w:val="0"/>
      <w:marTop w:val="0"/>
      <w:marBottom w:val="0"/>
      <w:divBdr>
        <w:top w:val="none" w:sz="0" w:space="0" w:color="auto"/>
        <w:left w:val="none" w:sz="0" w:space="0" w:color="auto"/>
        <w:bottom w:val="none" w:sz="0" w:space="0" w:color="auto"/>
        <w:right w:val="none" w:sz="0" w:space="0" w:color="auto"/>
      </w:divBdr>
    </w:div>
    <w:div w:id="424034504">
      <w:bodyDiv w:val="1"/>
      <w:marLeft w:val="0"/>
      <w:marRight w:val="0"/>
      <w:marTop w:val="0"/>
      <w:marBottom w:val="0"/>
      <w:divBdr>
        <w:top w:val="none" w:sz="0" w:space="0" w:color="auto"/>
        <w:left w:val="none" w:sz="0" w:space="0" w:color="auto"/>
        <w:bottom w:val="none" w:sz="0" w:space="0" w:color="auto"/>
        <w:right w:val="none" w:sz="0" w:space="0" w:color="auto"/>
      </w:divBdr>
    </w:div>
    <w:div w:id="429591921">
      <w:bodyDiv w:val="1"/>
      <w:marLeft w:val="0"/>
      <w:marRight w:val="0"/>
      <w:marTop w:val="0"/>
      <w:marBottom w:val="0"/>
      <w:divBdr>
        <w:top w:val="none" w:sz="0" w:space="0" w:color="auto"/>
        <w:left w:val="none" w:sz="0" w:space="0" w:color="auto"/>
        <w:bottom w:val="none" w:sz="0" w:space="0" w:color="auto"/>
        <w:right w:val="none" w:sz="0" w:space="0" w:color="auto"/>
      </w:divBdr>
    </w:div>
    <w:div w:id="437678327">
      <w:bodyDiv w:val="1"/>
      <w:marLeft w:val="0"/>
      <w:marRight w:val="0"/>
      <w:marTop w:val="0"/>
      <w:marBottom w:val="0"/>
      <w:divBdr>
        <w:top w:val="none" w:sz="0" w:space="0" w:color="auto"/>
        <w:left w:val="none" w:sz="0" w:space="0" w:color="auto"/>
        <w:bottom w:val="none" w:sz="0" w:space="0" w:color="auto"/>
        <w:right w:val="none" w:sz="0" w:space="0" w:color="auto"/>
      </w:divBdr>
    </w:div>
    <w:div w:id="440035570">
      <w:bodyDiv w:val="1"/>
      <w:marLeft w:val="0"/>
      <w:marRight w:val="0"/>
      <w:marTop w:val="0"/>
      <w:marBottom w:val="0"/>
      <w:divBdr>
        <w:top w:val="none" w:sz="0" w:space="0" w:color="auto"/>
        <w:left w:val="none" w:sz="0" w:space="0" w:color="auto"/>
        <w:bottom w:val="none" w:sz="0" w:space="0" w:color="auto"/>
        <w:right w:val="none" w:sz="0" w:space="0" w:color="auto"/>
      </w:divBdr>
    </w:div>
    <w:div w:id="445660297">
      <w:bodyDiv w:val="1"/>
      <w:marLeft w:val="0"/>
      <w:marRight w:val="0"/>
      <w:marTop w:val="0"/>
      <w:marBottom w:val="0"/>
      <w:divBdr>
        <w:top w:val="none" w:sz="0" w:space="0" w:color="auto"/>
        <w:left w:val="none" w:sz="0" w:space="0" w:color="auto"/>
        <w:bottom w:val="none" w:sz="0" w:space="0" w:color="auto"/>
        <w:right w:val="none" w:sz="0" w:space="0" w:color="auto"/>
      </w:divBdr>
    </w:div>
    <w:div w:id="448009530">
      <w:bodyDiv w:val="1"/>
      <w:marLeft w:val="0"/>
      <w:marRight w:val="0"/>
      <w:marTop w:val="0"/>
      <w:marBottom w:val="0"/>
      <w:divBdr>
        <w:top w:val="none" w:sz="0" w:space="0" w:color="auto"/>
        <w:left w:val="none" w:sz="0" w:space="0" w:color="auto"/>
        <w:bottom w:val="none" w:sz="0" w:space="0" w:color="auto"/>
        <w:right w:val="none" w:sz="0" w:space="0" w:color="auto"/>
      </w:divBdr>
    </w:div>
    <w:div w:id="468019596">
      <w:bodyDiv w:val="1"/>
      <w:marLeft w:val="0"/>
      <w:marRight w:val="0"/>
      <w:marTop w:val="0"/>
      <w:marBottom w:val="0"/>
      <w:divBdr>
        <w:top w:val="none" w:sz="0" w:space="0" w:color="auto"/>
        <w:left w:val="none" w:sz="0" w:space="0" w:color="auto"/>
        <w:bottom w:val="none" w:sz="0" w:space="0" w:color="auto"/>
        <w:right w:val="none" w:sz="0" w:space="0" w:color="auto"/>
      </w:divBdr>
    </w:div>
    <w:div w:id="476652681">
      <w:bodyDiv w:val="1"/>
      <w:marLeft w:val="0"/>
      <w:marRight w:val="0"/>
      <w:marTop w:val="0"/>
      <w:marBottom w:val="0"/>
      <w:divBdr>
        <w:top w:val="none" w:sz="0" w:space="0" w:color="auto"/>
        <w:left w:val="none" w:sz="0" w:space="0" w:color="auto"/>
        <w:bottom w:val="none" w:sz="0" w:space="0" w:color="auto"/>
        <w:right w:val="none" w:sz="0" w:space="0" w:color="auto"/>
      </w:divBdr>
    </w:div>
    <w:div w:id="478887230">
      <w:bodyDiv w:val="1"/>
      <w:marLeft w:val="0"/>
      <w:marRight w:val="0"/>
      <w:marTop w:val="0"/>
      <w:marBottom w:val="0"/>
      <w:divBdr>
        <w:top w:val="none" w:sz="0" w:space="0" w:color="auto"/>
        <w:left w:val="none" w:sz="0" w:space="0" w:color="auto"/>
        <w:bottom w:val="none" w:sz="0" w:space="0" w:color="auto"/>
        <w:right w:val="none" w:sz="0" w:space="0" w:color="auto"/>
      </w:divBdr>
    </w:div>
    <w:div w:id="479273009">
      <w:bodyDiv w:val="1"/>
      <w:marLeft w:val="0"/>
      <w:marRight w:val="0"/>
      <w:marTop w:val="0"/>
      <w:marBottom w:val="0"/>
      <w:divBdr>
        <w:top w:val="none" w:sz="0" w:space="0" w:color="auto"/>
        <w:left w:val="none" w:sz="0" w:space="0" w:color="auto"/>
        <w:bottom w:val="none" w:sz="0" w:space="0" w:color="auto"/>
        <w:right w:val="none" w:sz="0" w:space="0" w:color="auto"/>
      </w:divBdr>
    </w:div>
    <w:div w:id="481117066">
      <w:bodyDiv w:val="1"/>
      <w:marLeft w:val="0"/>
      <w:marRight w:val="0"/>
      <w:marTop w:val="0"/>
      <w:marBottom w:val="0"/>
      <w:divBdr>
        <w:top w:val="none" w:sz="0" w:space="0" w:color="auto"/>
        <w:left w:val="none" w:sz="0" w:space="0" w:color="auto"/>
        <w:bottom w:val="none" w:sz="0" w:space="0" w:color="auto"/>
        <w:right w:val="none" w:sz="0" w:space="0" w:color="auto"/>
      </w:divBdr>
    </w:div>
    <w:div w:id="484515248">
      <w:bodyDiv w:val="1"/>
      <w:marLeft w:val="0"/>
      <w:marRight w:val="0"/>
      <w:marTop w:val="0"/>
      <w:marBottom w:val="0"/>
      <w:divBdr>
        <w:top w:val="none" w:sz="0" w:space="0" w:color="auto"/>
        <w:left w:val="none" w:sz="0" w:space="0" w:color="auto"/>
        <w:bottom w:val="none" w:sz="0" w:space="0" w:color="auto"/>
        <w:right w:val="none" w:sz="0" w:space="0" w:color="auto"/>
      </w:divBdr>
    </w:div>
    <w:div w:id="503281290">
      <w:bodyDiv w:val="1"/>
      <w:marLeft w:val="0"/>
      <w:marRight w:val="0"/>
      <w:marTop w:val="0"/>
      <w:marBottom w:val="0"/>
      <w:divBdr>
        <w:top w:val="none" w:sz="0" w:space="0" w:color="auto"/>
        <w:left w:val="none" w:sz="0" w:space="0" w:color="auto"/>
        <w:bottom w:val="none" w:sz="0" w:space="0" w:color="auto"/>
        <w:right w:val="none" w:sz="0" w:space="0" w:color="auto"/>
      </w:divBdr>
    </w:div>
    <w:div w:id="504324464">
      <w:bodyDiv w:val="1"/>
      <w:marLeft w:val="0"/>
      <w:marRight w:val="0"/>
      <w:marTop w:val="0"/>
      <w:marBottom w:val="0"/>
      <w:divBdr>
        <w:top w:val="none" w:sz="0" w:space="0" w:color="auto"/>
        <w:left w:val="none" w:sz="0" w:space="0" w:color="auto"/>
        <w:bottom w:val="none" w:sz="0" w:space="0" w:color="auto"/>
        <w:right w:val="none" w:sz="0" w:space="0" w:color="auto"/>
      </w:divBdr>
    </w:div>
    <w:div w:id="517160101">
      <w:bodyDiv w:val="1"/>
      <w:marLeft w:val="0"/>
      <w:marRight w:val="0"/>
      <w:marTop w:val="0"/>
      <w:marBottom w:val="0"/>
      <w:divBdr>
        <w:top w:val="none" w:sz="0" w:space="0" w:color="auto"/>
        <w:left w:val="none" w:sz="0" w:space="0" w:color="auto"/>
        <w:bottom w:val="none" w:sz="0" w:space="0" w:color="auto"/>
        <w:right w:val="none" w:sz="0" w:space="0" w:color="auto"/>
      </w:divBdr>
    </w:div>
    <w:div w:id="537358290">
      <w:bodyDiv w:val="1"/>
      <w:marLeft w:val="0"/>
      <w:marRight w:val="0"/>
      <w:marTop w:val="0"/>
      <w:marBottom w:val="0"/>
      <w:divBdr>
        <w:top w:val="none" w:sz="0" w:space="0" w:color="auto"/>
        <w:left w:val="none" w:sz="0" w:space="0" w:color="auto"/>
        <w:bottom w:val="none" w:sz="0" w:space="0" w:color="auto"/>
        <w:right w:val="none" w:sz="0" w:space="0" w:color="auto"/>
      </w:divBdr>
    </w:div>
    <w:div w:id="537667259">
      <w:bodyDiv w:val="1"/>
      <w:marLeft w:val="0"/>
      <w:marRight w:val="0"/>
      <w:marTop w:val="0"/>
      <w:marBottom w:val="0"/>
      <w:divBdr>
        <w:top w:val="none" w:sz="0" w:space="0" w:color="auto"/>
        <w:left w:val="none" w:sz="0" w:space="0" w:color="auto"/>
        <w:bottom w:val="none" w:sz="0" w:space="0" w:color="auto"/>
        <w:right w:val="none" w:sz="0" w:space="0" w:color="auto"/>
      </w:divBdr>
    </w:div>
    <w:div w:id="538516550">
      <w:bodyDiv w:val="1"/>
      <w:marLeft w:val="0"/>
      <w:marRight w:val="0"/>
      <w:marTop w:val="0"/>
      <w:marBottom w:val="0"/>
      <w:divBdr>
        <w:top w:val="none" w:sz="0" w:space="0" w:color="auto"/>
        <w:left w:val="none" w:sz="0" w:space="0" w:color="auto"/>
        <w:bottom w:val="none" w:sz="0" w:space="0" w:color="auto"/>
        <w:right w:val="none" w:sz="0" w:space="0" w:color="auto"/>
      </w:divBdr>
    </w:div>
    <w:div w:id="550534000">
      <w:bodyDiv w:val="1"/>
      <w:marLeft w:val="0"/>
      <w:marRight w:val="0"/>
      <w:marTop w:val="0"/>
      <w:marBottom w:val="0"/>
      <w:divBdr>
        <w:top w:val="none" w:sz="0" w:space="0" w:color="auto"/>
        <w:left w:val="none" w:sz="0" w:space="0" w:color="auto"/>
        <w:bottom w:val="none" w:sz="0" w:space="0" w:color="auto"/>
        <w:right w:val="none" w:sz="0" w:space="0" w:color="auto"/>
      </w:divBdr>
    </w:div>
    <w:div w:id="559093556">
      <w:bodyDiv w:val="1"/>
      <w:marLeft w:val="0"/>
      <w:marRight w:val="0"/>
      <w:marTop w:val="0"/>
      <w:marBottom w:val="0"/>
      <w:divBdr>
        <w:top w:val="none" w:sz="0" w:space="0" w:color="auto"/>
        <w:left w:val="none" w:sz="0" w:space="0" w:color="auto"/>
        <w:bottom w:val="none" w:sz="0" w:space="0" w:color="auto"/>
        <w:right w:val="none" w:sz="0" w:space="0" w:color="auto"/>
      </w:divBdr>
    </w:div>
    <w:div w:id="575210236">
      <w:bodyDiv w:val="1"/>
      <w:marLeft w:val="0"/>
      <w:marRight w:val="0"/>
      <w:marTop w:val="0"/>
      <w:marBottom w:val="0"/>
      <w:divBdr>
        <w:top w:val="none" w:sz="0" w:space="0" w:color="auto"/>
        <w:left w:val="none" w:sz="0" w:space="0" w:color="auto"/>
        <w:bottom w:val="none" w:sz="0" w:space="0" w:color="auto"/>
        <w:right w:val="none" w:sz="0" w:space="0" w:color="auto"/>
      </w:divBdr>
    </w:div>
    <w:div w:id="584336521">
      <w:bodyDiv w:val="1"/>
      <w:marLeft w:val="0"/>
      <w:marRight w:val="0"/>
      <w:marTop w:val="0"/>
      <w:marBottom w:val="0"/>
      <w:divBdr>
        <w:top w:val="none" w:sz="0" w:space="0" w:color="auto"/>
        <w:left w:val="none" w:sz="0" w:space="0" w:color="auto"/>
        <w:bottom w:val="none" w:sz="0" w:space="0" w:color="auto"/>
        <w:right w:val="none" w:sz="0" w:space="0" w:color="auto"/>
      </w:divBdr>
    </w:div>
    <w:div w:id="588463488">
      <w:bodyDiv w:val="1"/>
      <w:marLeft w:val="0"/>
      <w:marRight w:val="0"/>
      <w:marTop w:val="0"/>
      <w:marBottom w:val="0"/>
      <w:divBdr>
        <w:top w:val="none" w:sz="0" w:space="0" w:color="auto"/>
        <w:left w:val="none" w:sz="0" w:space="0" w:color="auto"/>
        <w:bottom w:val="none" w:sz="0" w:space="0" w:color="auto"/>
        <w:right w:val="none" w:sz="0" w:space="0" w:color="auto"/>
      </w:divBdr>
    </w:div>
    <w:div w:id="589435666">
      <w:bodyDiv w:val="1"/>
      <w:marLeft w:val="0"/>
      <w:marRight w:val="0"/>
      <w:marTop w:val="0"/>
      <w:marBottom w:val="0"/>
      <w:divBdr>
        <w:top w:val="none" w:sz="0" w:space="0" w:color="auto"/>
        <w:left w:val="none" w:sz="0" w:space="0" w:color="auto"/>
        <w:bottom w:val="none" w:sz="0" w:space="0" w:color="auto"/>
        <w:right w:val="none" w:sz="0" w:space="0" w:color="auto"/>
      </w:divBdr>
    </w:div>
    <w:div w:id="615915211">
      <w:bodyDiv w:val="1"/>
      <w:marLeft w:val="0"/>
      <w:marRight w:val="0"/>
      <w:marTop w:val="0"/>
      <w:marBottom w:val="0"/>
      <w:divBdr>
        <w:top w:val="none" w:sz="0" w:space="0" w:color="auto"/>
        <w:left w:val="none" w:sz="0" w:space="0" w:color="auto"/>
        <w:bottom w:val="none" w:sz="0" w:space="0" w:color="auto"/>
        <w:right w:val="none" w:sz="0" w:space="0" w:color="auto"/>
      </w:divBdr>
    </w:div>
    <w:div w:id="624314760">
      <w:bodyDiv w:val="1"/>
      <w:marLeft w:val="0"/>
      <w:marRight w:val="0"/>
      <w:marTop w:val="0"/>
      <w:marBottom w:val="0"/>
      <w:divBdr>
        <w:top w:val="none" w:sz="0" w:space="0" w:color="auto"/>
        <w:left w:val="none" w:sz="0" w:space="0" w:color="auto"/>
        <w:bottom w:val="none" w:sz="0" w:space="0" w:color="auto"/>
        <w:right w:val="none" w:sz="0" w:space="0" w:color="auto"/>
      </w:divBdr>
    </w:div>
    <w:div w:id="624703763">
      <w:bodyDiv w:val="1"/>
      <w:marLeft w:val="0"/>
      <w:marRight w:val="0"/>
      <w:marTop w:val="0"/>
      <w:marBottom w:val="0"/>
      <w:divBdr>
        <w:top w:val="none" w:sz="0" w:space="0" w:color="auto"/>
        <w:left w:val="none" w:sz="0" w:space="0" w:color="auto"/>
        <w:bottom w:val="none" w:sz="0" w:space="0" w:color="auto"/>
        <w:right w:val="none" w:sz="0" w:space="0" w:color="auto"/>
      </w:divBdr>
    </w:div>
    <w:div w:id="624966754">
      <w:bodyDiv w:val="1"/>
      <w:marLeft w:val="0"/>
      <w:marRight w:val="0"/>
      <w:marTop w:val="0"/>
      <w:marBottom w:val="0"/>
      <w:divBdr>
        <w:top w:val="none" w:sz="0" w:space="0" w:color="auto"/>
        <w:left w:val="none" w:sz="0" w:space="0" w:color="auto"/>
        <w:bottom w:val="none" w:sz="0" w:space="0" w:color="auto"/>
        <w:right w:val="none" w:sz="0" w:space="0" w:color="auto"/>
      </w:divBdr>
    </w:div>
    <w:div w:id="625500552">
      <w:bodyDiv w:val="1"/>
      <w:marLeft w:val="0"/>
      <w:marRight w:val="0"/>
      <w:marTop w:val="0"/>
      <w:marBottom w:val="0"/>
      <w:divBdr>
        <w:top w:val="none" w:sz="0" w:space="0" w:color="auto"/>
        <w:left w:val="none" w:sz="0" w:space="0" w:color="auto"/>
        <w:bottom w:val="none" w:sz="0" w:space="0" w:color="auto"/>
        <w:right w:val="none" w:sz="0" w:space="0" w:color="auto"/>
      </w:divBdr>
    </w:div>
    <w:div w:id="634601406">
      <w:bodyDiv w:val="1"/>
      <w:marLeft w:val="0"/>
      <w:marRight w:val="0"/>
      <w:marTop w:val="0"/>
      <w:marBottom w:val="0"/>
      <w:divBdr>
        <w:top w:val="none" w:sz="0" w:space="0" w:color="auto"/>
        <w:left w:val="none" w:sz="0" w:space="0" w:color="auto"/>
        <w:bottom w:val="none" w:sz="0" w:space="0" w:color="auto"/>
        <w:right w:val="none" w:sz="0" w:space="0" w:color="auto"/>
      </w:divBdr>
    </w:div>
    <w:div w:id="636766608">
      <w:bodyDiv w:val="1"/>
      <w:marLeft w:val="0"/>
      <w:marRight w:val="0"/>
      <w:marTop w:val="0"/>
      <w:marBottom w:val="0"/>
      <w:divBdr>
        <w:top w:val="none" w:sz="0" w:space="0" w:color="auto"/>
        <w:left w:val="none" w:sz="0" w:space="0" w:color="auto"/>
        <w:bottom w:val="none" w:sz="0" w:space="0" w:color="auto"/>
        <w:right w:val="none" w:sz="0" w:space="0" w:color="auto"/>
      </w:divBdr>
    </w:div>
    <w:div w:id="638144320">
      <w:bodyDiv w:val="1"/>
      <w:marLeft w:val="0"/>
      <w:marRight w:val="0"/>
      <w:marTop w:val="0"/>
      <w:marBottom w:val="0"/>
      <w:divBdr>
        <w:top w:val="none" w:sz="0" w:space="0" w:color="auto"/>
        <w:left w:val="none" w:sz="0" w:space="0" w:color="auto"/>
        <w:bottom w:val="none" w:sz="0" w:space="0" w:color="auto"/>
        <w:right w:val="none" w:sz="0" w:space="0" w:color="auto"/>
      </w:divBdr>
    </w:div>
    <w:div w:id="638920918">
      <w:bodyDiv w:val="1"/>
      <w:marLeft w:val="0"/>
      <w:marRight w:val="0"/>
      <w:marTop w:val="0"/>
      <w:marBottom w:val="0"/>
      <w:divBdr>
        <w:top w:val="none" w:sz="0" w:space="0" w:color="auto"/>
        <w:left w:val="none" w:sz="0" w:space="0" w:color="auto"/>
        <w:bottom w:val="none" w:sz="0" w:space="0" w:color="auto"/>
        <w:right w:val="none" w:sz="0" w:space="0" w:color="auto"/>
      </w:divBdr>
    </w:div>
    <w:div w:id="639925402">
      <w:bodyDiv w:val="1"/>
      <w:marLeft w:val="0"/>
      <w:marRight w:val="0"/>
      <w:marTop w:val="0"/>
      <w:marBottom w:val="0"/>
      <w:divBdr>
        <w:top w:val="none" w:sz="0" w:space="0" w:color="auto"/>
        <w:left w:val="none" w:sz="0" w:space="0" w:color="auto"/>
        <w:bottom w:val="none" w:sz="0" w:space="0" w:color="auto"/>
        <w:right w:val="none" w:sz="0" w:space="0" w:color="auto"/>
      </w:divBdr>
    </w:div>
    <w:div w:id="652024199">
      <w:bodyDiv w:val="1"/>
      <w:marLeft w:val="0"/>
      <w:marRight w:val="0"/>
      <w:marTop w:val="0"/>
      <w:marBottom w:val="0"/>
      <w:divBdr>
        <w:top w:val="none" w:sz="0" w:space="0" w:color="auto"/>
        <w:left w:val="none" w:sz="0" w:space="0" w:color="auto"/>
        <w:bottom w:val="none" w:sz="0" w:space="0" w:color="auto"/>
        <w:right w:val="none" w:sz="0" w:space="0" w:color="auto"/>
      </w:divBdr>
    </w:div>
    <w:div w:id="653031187">
      <w:bodyDiv w:val="1"/>
      <w:marLeft w:val="0"/>
      <w:marRight w:val="0"/>
      <w:marTop w:val="0"/>
      <w:marBottom w:val="0"/>
      <w:divBdr>
        <w:top w:val="none" w:sz="0" w:space="0" w:color="auto"/>
        <w:left w:val="none" w:sz="0" w:space="0" w:color="auto"/>
        <w:bottom w:val="none" w:sz="0" w:space="0" w:color="auto"/>
        <w:right w:val="none" w:sz="0" w:space="0" w:color="auto"/>
      </w:divBdr>
    </w:div>
    <w:div w:id="654339799">
      <w:bodyDiv w:val="1"/>
      <w:marLeft w:val="0"/>
      <w:marRight w:val="0"/>
      <w:marTop w:val="0"/>
      <w:marBottom w:val="0"/>
      <w:divBdr>
        <w:top w:val="none" w:sz="0" w:space="0" w:color="auto"/>
        <w:left w:val="none" w:sz="0" w:space="0" w:color="auto"/>
        <w:bottom w:val="none" w:sz="0" w:space="0" w:color="auto"/>
        <w:right w:val="none" w:sz="0" w:space="0" w:color="auto"/>
      </w:divBdr>
    </w:div>
    <w:div w:id="654728266">
      <w:bodyDiv w:val="1"/>
      <w:marLeft w:val="0"/>
      <w:marRight w:val="0"/>
      <w:marTop w:val="0"/>
      <w:marBottom w:val="0"/>
      <w:divBdr>
        <w:top w:val="none" w:sz="0" w:space="0" w:color="auto"/>
        <w:left w:val="none" w:sz="0" w:space="0" w:color="auto"/>
        <w:bottom w:val="none" w:sz="0" w:space="0" w:color="auto"/>
        <w:right w:val="none" w:sz="0" w:space="0" w:color="auto"/>
      </w:divBdr>
    </w:div>
    <w:div w:id="654799151">
      <w:bodyDiv w:val="1"/>
      <w:marLeft w:val="0"/>
      <w:marRight w:val="0"/>
      <w:marTop w:val="0"/>
      <w:marBottom w:val="0"/>
      <w:divBdr>
        <w:top w:val="none" w:sz="0" w:space="0" w:color="auto"/>
        <w:left w:val="none" w:sz="0" w:space="0" w:color="auto"/>
        <w:bottom w:val="none" w:sz="0" w:space="0" w:color="auto"/>
        <w:right w:val="none" w:sz="0" w:space="0" w:color="auto"/>
      </w:divBdr>
    </w:div>
    <w:div w:id="657004775">
      <w:bodyDiv w:val="1"/>
      <w:marLeft w:val="0"/>
      <w:marRight w:val="0"/>
      <w:marTop w:val="0"/>
      <w:marBottom w:val="0"/>
      <w:divBdr>
        <w:top w:val="none" w:sz="0" w:space="0" w:color="auto"/>
        <w:left w:val="none" w:sz="0" w:space="0" w:color="auto"/>
        <w:bottom w:val="none" w:sz="0" w:space="0" w:color="auto"/>
        <w:right w:val="none" w:sz="0" w:space="0" w:color="auto"/>
      </w:divBdr>
    </w:div>
    <w:div w:id="662004260">
      <w:bodyDiv w:val="1"/>
      <w:marLeft w:val="0"/>
      <w:marRight w:val="0"/>
      <w:marTop w:val="0"/>
      <w:marBottom w:val="0"/>
      <w:divBdr>
        <w:top w:val="none" w:sz="0" w:space="0" w:color="auto"/>
        <w:left w:val="none" w:sz="0" w:space="0" w:color="auto"/>
        <w:bottom w:val="none" w:sz="0" w:space="0" w:color="auto"/>
        <w:right w:val="none" w:sz="0" w:space="0" w:color="auto"/>
      </w:divBdr>
    </w:div>
    <w:div w:id="682099047">
      <w:bodyDiv w:val="1"/>
      <w:marLeft w:val="0"/>
      <w:marRight w:val="0"/>
      <w:marTop w:val="0"/>
      <w:marBottom w:val="0"/>
      <w:divBdr>
        <w:top w:val="none" w:sz="0" w:space="0" w:color="auto"/>
        <w:left w:val="none" w:sz="0" w:space="0" w:color="auto"/>
        <w:bottom w:val="none" w:sz="0" w:space="0" w:color="auto"/>
        <w:right w:val="none" w:sz="0" w:space="0" w:color="auto"/>
      </w:divBdr>
    </w:div>
    <w:div w:id="706491786">
      <w:bodyDiv w:val="1"/>
      <w:marLeft w:val="0"/>
      <w:marRight w:val="0"/>
      <w:marTop w:val="0"/>
      <w:marBottom w:val="0"/>
      <w:divBdr>
        <w:top w:val="none" w:sz="0" w:space="0" w:color="auto"/>
        <w:left w:val="none" w:sz="0" w:space="0" w:color="auto"/>
        <w:bottom w:val="none" w:sz="0" w:space="0" w:color="auto"/>
        <w:right w:val="none" w:sz="0" w:space="0" w:color="auto"/>
      </w:divBdr>
    </w:div>
    <w:div w:id="706754806">
      <w:bodyDiv w:val="1"/>
      <w:marLeft w:val="0"/>
      <w:marRight w:val="0"/>
      <w:marTop w:val="0"/>
      <w:marBottom w:val="0"/>
      <w:divBdr>
        <w:top w:val="none" w:sz="0" w:space="0" w:color="auto"/>
        <w:left w:val="none" w:sz="0" w:space="0" w:color="auto"/>
        <w:bottom w:val="none" w:sz="0" w:space="0" w:color="auto"/>
        <w:right w:val="none" w:sz="0" w:space="0" w:color="auto"/>
      </w:divBdr>
    </w:div>
    <w:div w:id="709456323">
      <w:bodyDiv w:val="1"/>
      <w:marLeft w:val="0"/>
      <w:marRight w:val="0"/>
      <w:marTop w:val="0"/>
      <w:marBottom w:val="0"/>
      <w:divBdr>
        <w:top w:val="none" w:sz="0" w:space="0" w:color="auto"/>
        <w:left w:val="none" w:sz="0" w:space="0" w:color="auto"/>
        <w:bottom w:val="none" w:sz="0" w:space="0" w:color="auto"/>
        <w:right w:val="none" w:sz="0" w:space="0" w:color="auto"/>
      </w:divBdr>
    </w:div>
    <w:div w:id="709456524">
      <w:bodyDiv w:val="1"/>
      <w:marLeft w:val="0"/>
      <w:marRight w:val="0"/>
      <w:marTop w:val="0"/>
      <w:marBottom w:val="0"/>
      <w:divBdr>
        <w:top w:val="none" w:sz="0" w:space="0" w:color="auto"/>
        <w:left w:val="none" w:sz="0" w:space="0" w:color="auto"/>
        <w:bottom w:val="none" w:sz="0" w:space="0" w:color="auto"/>
        <w:right w:val="none" w:sz="0" w:space="0" w:color="auto"/>
      </w:divBdr>
    </w:div>
    <w:div w:id="718090769">
      <w:bodyDiv w:val="1"/>
      <w:marLeft w:val="0"/>
      <w:marRight w:val="0"/>
      <w:marTop w:val="0"/>
      <w:marBottom w:val="0"/>
      <w:divBdr>
        <w:top w:val="none" w:sz="0" w:space="0" w:color="auto"/>
        <w:left w:val="none" w:sz="0" w:space="0" w:color="auto"/>
        <w:bottom w:val="none" w:sz="0" w:space="0" w:color="auto"/>
        <w:right w:val="none" w:sz="0" w:space="0" w:color="auto"/>
      </w:divBdr>
    </w:div>
    <w:div w:id="718939511">
      <w:bodyDiv w:val="1"/>
      <w:marLeft w:val="0"/>
      <w:marRight w:val="0"/>
      <w:marTop w:val="0"/>
      <w:marBottom w:val="0"/>
      <w:divBdr>
        <w:top w:val="none" w:sz="0" w:space="0" w:color="auto"/>
        <w:left w:val="none" w:sz="0" w:space="0" w:color="auto"/>
        <w:bottom w:val="none" w:sz="0" w:space="0" w:color="auto"/>
        <w:right w:val="none" w:sz="0" w:space="0" w:color="auto"/>
      </w:divBdr>
    </w:div>
    <w:div w:id="720404447">
      <w:bodyDiv w:val="1"/>
      <w:marLeft w:val="0"/>
      <w:marRight w:val="0"/>
      <w:marTop w:val="0"/>
      <w:marBottom w:val="0"/>
      <w:divBdr>
        <w:top w:val="none" w:sz="0" w:space="0" w:color="auto"/>
        <w:left w:val="none" w:sz="0" w:space="0" w:color="auto"/>
        <w:bottom w:val="none" w:sz="0" w:space="0" w:color="auto"/>
        <w:right w:val="none" w:sz="0" w:space="0" w:color="auto"/>
      </w:divBdr>
    </w:div>
    <w:div w:id="722676708">
      <w:bodyDiv w:val="1"/>
      <w:marLeft w:val="0"/>
      <w:marRight w:val="0"/>
      <w:marTop w:val="0"/>
      <w:marBottom w:val="0"/>
      <w:divBdr>
        <w:top w:val="none" w:sz="0" w:space="0" w:color="auto"/>
        <w:left w:val="none" w:sz="0" w:space="0" w:color="auto"/>
        <w:bottom w:val="none" w:sz="0" w:space="0" w:color="auto"/>
        <w:right w:val="none" w:sz="0" w:space="0" w:color="auto"/>
      </w:divBdr>
    </w:div>
    <w:div w:id="726417700">
      <w:bodyDiv w:val="1"/>
      <w:marLeft w:val="0"/>
      <w:marRight w:val="0"/>
      <w:marTop w:val="0"/>
      <w:marBottom w:val="0"/>
      <w:divBdr>
        <w:top w:val="none" w:sz="0" w:space="0" w:color="auto"/>
        <w:left w:val="none" w:sz="0" w:space="0" w:color="auto"/>
        <w:bottom w:val="none" w:sz="0" w:space="0" w:color="auto"/>
        <w:right w:val="none" w:sz="0" w:space="0" w:color="auto"/>
      </w:divBdr>
    </w:div>
    <w:div w:id="742068189">
      <w:bodyDiv w:val="1"/>
      <w:marLeft w:val="0"/>
      <w:marRight w:val="0"/>
      <w:marTop w:val="0"/>
      <w:marBottom w:val="0"/>
      <w:divBdr>
        <w:top w:val="none" w:sz="0" w:space="0" w:color="auto"/>
        <w:left w:val="none" w:sz="0" w:space="0" w:color="auto"/>
        <w:bottom w:val="none" w:sz="0" w:space="0" w:color="auto"/>
        <w:right w:val="none" w:sz="0" w:space="0" w:color="auto"/>
      </w:divBdr>
    </w:div>
    <w:div w:id="762457021">
      <w:bodyDiv w:val="1"/>
      <w:marLeft w:val="0"/>
      <w:marRight w:val="0"/>
      <w:marTop w:val="0"/>
      <w:marBottom w:val="0"/>
      <w:divBdr>
        <w:top w:val="none" w:sz="0" w:space="0" w:color="auto"/>
        <w:left w:val="none" w:sz="0" w:space="0" w:color="auto"/>
        <w:bottom w:val="none" w:sz="0" w:space="0" w:color="auto"/>
        <w:right w:val="none" w:sz="0" w:space="0" w:color="auto"/>
      </w:divBdr>
    </w:div>
    <w:div w:id="764808953">
      <w:bodyDiv w:val="1"/>
      <w:marLeft w:val="0"/>
      <w:marRight w:val="0"/>
      <w:marTop w:val="0"/>
      <w:marBottom w:val="0"/>
      <w:divBdr>
        <w:top w:val="none" w:sz="0" w:space="0" w:color="auto"/>
        <w:left w:val="none" w:sz="0" w:space="0" w:color="auto"/>
        <w:bottom w:val="none" w:sz="0" w:space="0" w:color="auto"/>
        <w:right w:val="none" w:sz="0" w:space="0" w:color="auto"/>
      </w:divBdr>
    </w:div>
    <w:div w:id="773324967">
      <w:bodyDiv w:val="1"/>
      <w:marLeft w:val="0"/>
      <w:marRight w:val="0"/>
      <w:marTop w:val="0"/>
      <w:marBottom w:val="0"/>
      <w:divBdr>
        <w:top w:val="none" w:sz="0" w:space="0" w:color="auto"/>
        <w:left w:val="none" w:sz="0" w:space="0" w:color="auto"/>
        <w:bottom w:val="none" w:sz="0" w:space="0" w:color="auto"/>
        <w:right w:val="none" w:sz="0" w:space="0" w:color="auto"/>
      </w:divBdr>
    </w:div>
    <w:div w:id="782648352">
      <w:bodyDiv w:val="1"/>
      <w:marLeft w:val="0"/>
      <w:marRight w:val="0"/>
      <w:marTop w:val="0"/>
      <w:marBottom w:val="0"/>
      <w:divBdr>
        <w:top w:val="none" w:sz="0" w:space="0" w:color="auto"/>
        <w:left w:val="none" w:sz="0" w:space="0" w:color="auto"/>
        <w:bottom w:val="none" w:sz="0" w:space="0" w:color="auto"/>
        <w:right w:val="none" w:sz="0" w:space="0" w:color="auto"/>
      </w:divBdr>
    </w:div>
    <w:div w:id="790441113">
      <w:bodyDiv w:val="1"/>
      <w:marLeft w:val="0"/>
      <w:marRight w:val="0"/>
      <w:marTop w:val="0"/>
      <w:marBottom w:val="0"/>
      <w:divBdr>
        <w:top w:val="none" w:sz="0" w:space="0" w:color="auto"/>
        <w:left w:val="none" w:sz="0" w:space="0" w:color="auto"/>
        <w:bottom w:val="none" w:sz="0" w:space="0" w:color="auto"/>
        <w:right w:val="none" w:sz="0" w:space="0" w:color="auto"/>
      </w:divBdr>
    </w:div>
    <w:div w:id="791293225">
      <w:bodyDiv w:val="1"/>
      <w:marLeft w:val="0"/>
      <w:marRight w:val="0"/>
      <w:marTop w:val="0"/>
      <w:marBottom w:val="0"/>
      <w:divBdr>
        <w:top w:val="none" w:sz="0" w:space="0" w:color="auto"/>
        <w:left w:val="none" w:sz="0" w:space="0" w:color="auto"/>
        <w:bottom w:val="none" w:sz="0" w:space="0" w:color="auto"/>
        <w:right w:val="none" w:sz="0" w:space="0" w:color="auto"/>
      </w:divBdr>
    </w:div>
    <w:div w:id="791435991">
      <w:bodyDiv w:val="1"/>
      <w:marLeft w:val="0"/>
      <w:marRight w:val="0"/>
      <w:marTop w:val="0"/>
      <w:marBottom w:val="0"/>
      <w:divBdr>
        <w:top w:val="none" w:sz="0" w:space="0" w:color="auto"/>
        <w:left w:val="none" w:sz="0" w:space="0" w:color="auto"/>
        <w:bottom w:val="none" w:sz="0" w:space="0" w:color="auto"/>
        <w:right w:val="none" w:sz="0" w:space="0" w:color="auto"/>
      </w:divBdr>
    </w:div>
    <w:div w:id="809399487">
      <w:bodyDiv w:val="1"/>
      <w:marLeft w:val="0"/>
      <w:marRight w:val="0"/>
      <w:marTop w:val="0"/>
      <w:marBottom w:val="0"/>
      <w:divBdr>
        <w:top w:val="none" w:sz="0" w:space="0" w:color="auto"/>
        <w:left w:val="none" w:sz="0" w:space="0" w:color="auto"/>
        <w:bottom w:val="none" w:sz="0" w:space="0" w:color="auto"/>
        <w:right w:val="none" w:sz="0" w:space="0" w:color="auto"/>
      </w:divBdr>
    </w:div>
    <w:div w:id="810487217">
      <w:bodyDiv w:val="1"/>
      <w:marLeft w:val="0"/>
      <w:marRight w:val="0"/>
      <w:marTop w:val="0"/>
      <w:marBottom w:val="0"/>
      <w:divBdr>
        <w:top w:val="none" w:sz="0" w:space="0" w:color="auto"/>
        <w:left w:val="none" w:sz="0" w:space="0" w:color="auto"/>
        <w:bottom w:val="none" w:sz="0" w:space="0" w:color="auto"/>
        <w:right w:val="none" w:sz="0" w:space="0" w:color="auto"/>
      </w:divBdr>
    </w:div>
    <w:div w:id="821891389">
      <w:bodyDiv w:val="1"/>
      <w:marLeft w:val="0"/>
      <w:marRight w:val="0"/>
      <w:marTop w:val="0"/>
      <w:marBottom w:val="0"/>
      <w:divBdr>
        <w:top w:val="none" w:sz="0" w:space="0" w:color="auto"/>
        <w:left w:val="none" w:sz="0" w:space="0" w:color="auto"/>
        <w:bottom w:val="none" w:sz="0" w:space="0" w:color="auto"/>
        <w:right w:val="none" w:sz="0" w:space="0" w:color="auto"/>
      </w:divBdr>
    </w:div>
    <w:div w:id="835149579">
      <w:bodyDiv w:val="1"/>
      <w:marLeft w:val="0"/>
      <w:marRight w:val="0"/>
      <w:marTop w:val="0"/>
      <w:marBottom w:val="0"/>
      <w:divBdr>
        <w:top w:val="none" w:sz="0" w:space="0" w:color="auto"/>
        <w:left w:val="none" w:sz="0" w:space="0" w:color="auto"/>
        <w:bottom w:val="none" w:sz="0" w:space="0" w:color="auto"/>
        <w:right w:val="none" w:sz="0" w:space="0" w:color="auto"/>
      </w:divBdr>
    </w:div>
    <w:div w:id="856382140">
      <w:bodyDiv w:val="1"/>
      <w:marLeft w:val="0"/>
      <w:marRight w:val="0"/>
      <w:marTop w:val="0"/>
      <w:marBottom w:val="0"/>
      <w:divBdr>
        <w:top w:val="none" w:sz="0" w:space="0" w:color="auto"/>
        <w:left w:val="none" w:sz="0" w:space="0" w:color="auto"/>
        <w:bottom w:val="none" w:sz="0" w:space="0" w:color="auto"/>
        <w:right w:val="none" w:sz="0" w:space="0" w:color="auto"/>
      </w:divBdr>
    </w:div>
    <w:div w:id="860362883">
      <w:bodyDiv w:val="1"/>
      <w:marLeft w:val="0"/>
      <w:marRight w:val="0"/>
      <w:marTop w:val="0"/>
      <w:marBottom w:val="0"/>
      <w:divBdr>
        <w:top w:val="none" w:sz="0" w:space="0" w:color="auto"/>
        <w:left w:val="none" w:sz="0" w:space="0" w:color="auto"/>
        <w:bottom w:val="none" w:sz="0" w:space="0" w:color="auto"/>
        <w:right w:val="none" w:sz="0" w:space="0" w:color="auto"/>
      </w:divBdr>
    </w:div>
    <w:div w:id="860818407">
      <w:bodyDiv w:val="1"/>
      <w:marLeft w:val="0"/>
      <w:marRight w:val="0"/>
      <w:marTop w:val="0"/>
      <w:marBottom w:val="0"/>
      <w:divBdr>
        <w:top w:val="none" w:sz="0" w:space="0" w:color="auto"/>
        <w:left w:val="none" w:sz="0" w:space="0" w:color="auto"/>
        <w:bottom w:val="none" w:sz="0" w:space="0" w:color="auto"/>
        <w:right w:val="none" w:sz="0" w:space="0" w:color="auto"/>
      </w:divBdr>
    </w:div>
    <w:div w:id="873035490">
      <w:bodyDiv w:val="1"/>
      <w:marLeft w:val="0"/>
      <w:marRight w:val="0"/>
      <w:marTop w:val="0"/>
      <w:marBottom w:val="0"/>
      <w:divBdr>
        <w:top w:val="none" w:sz="0" w:space="0" w:color="auto"/>
        <w:left w:val="none" w:sz="0" w:space="0" w:color="auto"/>
        <w:bottom w:val="none" w:sz="0" w:space="0" w:color="auto"/>
        <w:right w:val="none" w:sz="0" w:space="0" w:color="auto"/>
      </w:divBdr>
    </w:div>
    <w:div w:id="873738689">
      <w:bodyDiv w:val="1"/>
      <w:marLeft w:val="0"/>
      <w:marRight w:val="0"/>
      <w:marTop w:val="0"/>
      <w:marBottom w:val="0"/>
      <w:divBdr>
        <w:top w:val="none" w:sz="0" w:space="0" w:color="auto"/>
        <w:left w:val="none" w:sz="0" w:space="0" w:color="auto"/>
        <w:bottom w:val="none" w:sz="0" w:space="0" w:color="auto"/>
        <w:right w:val="none" w:sz="0" w:space="0" w:color="auto"/>
      </w:divBdr>
    </w:div>
    <w:div w:id="881019354">
      <w:bodyDiv w:val="1"/>
      <w:marLeft w:val="0"/>
      <w:marRight w:val="0"/>
      <w:marTop w:val="0"/>
      <w:marBottom w:val="0"/>
      <w:divBdr>
        <w:top w:val="none" w:sz="0" w:space="0" w:color="auto"/>
        <w:left w:val="none" w:sz="0" w:space="0" w:color="auto"/>
        <w:bottom w:val="none" w:sz="0" w:space="0" w:color="auto"/>
        <w:right w:val="none" w:sz="0" w:space="0" w:color="auto"/>
      </w:divBdr>
    </w:div>
    <w:div w:id="884605425">
      <w:bodyDiv w:val="1"/>
      <w:marLeft w:val="0"/>
      <w:marRight w:val="0"/>
      <w:marTop w:val="0"/>
      <w:marBottom w:val="0"/>
      <w:divBdr>
        <w:top w:val="none" w:sz="0" w:space="0" w:color="auto"/>
        <w:left w:val="none" w:sz="0" w:space="0" w:color="auto"/>
        <w:bottom w:val="none" w:sz="0" w:space="0" w:color="auto"/>
        <w:right w:val="none" w:sz="0" w:space="0" w:color="auto"/>
      </w:divBdr>
    </w:div>
    <w:div w:id="888688565">
      <w:bodyDiv w:val="1"/>
      <w:marLeft w:val="0"/>
      <w:marRight w:val="0"/>
      <w:marTop w:val="0"/>
      <w:marBottom w:val="0"/>
      <w:divBdr>
        <w:top w:val="none" w:sz="0" w:space="0" w:color="auto"/>
        <w:left w:val="none" w:sz="0" w:space="0" w:color="auto"/>
        <w:bottom w:val="none" w:sz="0" w:space="0" w:color="auto"/>
        <w:right w:val="none" w:sz="0" w:space="0" w:color="auto"/>
      </w:divBdr>
    </w:div>
    <w:div w:id="891771094">
      <w:bodyDiv w:val="1"/>
      <w:marLeft w:val="0"/>
      <w:marRight w:val="0"/>
      <w:marTop w:val="0"/>
      <w:marBottom w:val="0"/>
      <w:divBdr>
        <w:top w:val="none" w:sz="0" w:space="0" w:color="auto"/>
        <w:left w:val="none" w:sz="0" w:space="0" w:color="auto"/>
        <w:bottom w:val="none" w:sz="0" w:space="0" w:color="auto"/>
        <w:right w:val="none" w:sz="0" w:space="0" w:color="auto"/>
      </w:divBdr>
    </w:div>
    <w:div w:id="899172758">
      <w:bodyDiv w:val="1"/>
      <w:marLeft w:val="0"/>
      <w:marRight w:val="0"/>
      <w:marTop w:val="0"/>
      <w:marBottom w:val="0"/>
      <w:divBdr>
        <w:top w:val="none" w:sz="0" w:space="0" w:color="auto"/>
        <w:left w:val="none" w:sz="0" w:space="0" w:color="auto"/>
        <w:bottom w:val="none" w:sz="0" w:space="0" w:color="auto"/>
        <w:right w:val="none" w:sz="0" w:space="0" w:color="auto"/>
      </w:divBdr>
    </w:div>
    <w:div w:id="910702969">
      <w:bodyDiv w:val="1"/>
      <w:marLeft w:val="0"/>
      <w:marRight w:val="0"/>
      <w:marTop w:val="0"/>
      <w:marBottom w:val="0"/>
      <w:divBdr>
        <w:top w:val="none" w:sz="0" w:space="0" w:color="auto"/>
        <w:left w:val="none" w:sz="0" w:space="0" w:color="auto"/>
        <w:bottom w:val="none" w:sz="0" w:space="0" w:color="auto"/>
        <w:right w:val="none" w:sz="0" w:space="0" w:color="auto"/>
      </w:divBdr>
    </w:div>
    <w:div w:id="911431478">
      <w:bodyDiv w:val="1"/>
      <w:marLeft w:val="0"/>
      <w:marRight w:val="0"/>
      <w:marTop w:val="0"/>
      <w:marBottom w:val="0"/>
      <w:divBdr>
        <w:top w:val="none" w:sz="0" w:space="0" w:color="auto"/>
        <w:left w:val="none" w:sz="0" w:space="0" w:color="auto"/>
        <w:bottom w:val="none" w:sz="0" w:space="0" w:color="auto"/>
        <w:right w:val="none" w:sz="0" w:space="0" w:color="auto"/>
      </w:divBdr>
    </w:div>
    <w:div w:id="919874371">
      <w:bodyDiv w:val="1"/>
      <w:marLeft w:val="0"/>
      <w:marRight w:val="0"/>
      <w:marTop w:val="0"/>
      <w:marBottom w:val="0"/>
      <w:divBdr>
        <w:top w:val="none" w:sz="0" w:space="0" w:color="auto"/>
        <w:left w:val="none" w:sz="0" w:space="0" w:color="auto"/>
        <w:bottom w:val="none" w:sz="0" w:space="0" w:color="auto"/>
        <w:right w:val="none" w:sz="0" w:space="0" w:color="auto"/>
      </w:divBdr>
    </w:div>
    <w:div w:id="933975065">
      <w:bodyDiv w:val="1"/>
      <w:marLeft w:val="0"/>
      <w:marRight w:val="0"/>
      <w:marTop w:val="0"/>
      <w:marBottom w:val="0"/>
      <w:divBdr>
        <w:top w:val="none" w:sz="0" w:space="0" w:color="auto"/>
        <w:left w:val="none" w:sz="0" w:space="0" w:color="auto"/>
        <w:bottom w:val="none" w:sz="0" w:space="0" w:color="auto"/>
        <w:right w:val="none" w:sz="0" w:space="0" w:color="auto"/>
      </w:divBdr>
    </w:div>
    <w:div w:id="947665342">
      <w:bodyDiv w:val="1"/>
      <w:marLeft w:val="0"/>
      <w:marRight w:val="0"/>
      <w:marTop w:val="0"/>
      <w:marBottom w:val="0"/>
      <w:divBdr>
        <w:top w:val="none" w:sz="0" w:space="0" w:color="auto"/>
        <w:left w:val="none" w:sz="0" w:space="0" w:color="auto"/>
        <w:bottom w:val="none" w:sz="0" w:space="0" w:color="auto"/>
        <w:right w:val="none" w:sz="0" w:space="0" w:color="auto"/>
      </w:divBdr>
    </w:div>
    <w:div w:id="948201156">
      <w:bodyDiv w:val="1"/>
      <w:marLeft w:val="0"/>
      <w:marRight w:val="0"/>
      <w:marTop w:val="0"/>
      <w:marBottom w:val="0"/>
      <w:divBdr>
        <w:top w:val="none" w:sz="0" w:space="0" w:color="auto"/>
        <w:left w:val="none" w:sz="0" w:space="0" w:color="auto"/>
        <w:bottom w:val="none" w:sz="0" w:space="0" w:color="auto"/>
        <w:right w:val="none" w:sz="0" w:space="0" w:color="auto"/>
      </w:divBdr>
    </w:div>
    <w:div w:id="961569740">
      <w:bodyDiv w:val="1"/>
      <w:marLeft w:val="0"/>
      <w:marRight w:val="0"/>
      <w:marTop w:val="0"/>
      <w:marBottom w:val="0"/>
      <w:divBdr>
        <w:top w:val="none" w:sz="0" w:space="0" w:color="auto"/>
        <w:left w:val="none" w:sz="0" w:space="0" w:color="auto"/>
        <w:bottom w:val="none" w:sz="0" w:space="0" w:color="auto"/>
        <w:right w:val="none" w:sz="0" w:space="0" w:color="auto"/>
      </w:divBdr>
    </w:div>
    <w:div w:id="963458823">
      <w:bodyDiv w:val="1"/>
      <w:marLeft w:val="0"/>
      <w:marRight w:val="0"/>
      <w:marTop w:val="0"/>
      <w:marBottom w:val="0"/>
      <w:divBdr>
        <w:top w:val="none" w:sz="0" w:space="0" w:color="auto"/>
        <w:left w:val="none" w:sz="0" w:space="0" w:color="auto"/>
        <w:bottom w:val="none" w:sz="0" w:space="0" w:color="auto"/>
        <w:right w:val="none" w:sz="0" w:space="0" w:color="auto"/>
      </w:divBdr>
    </w:div>
    <w:div w:id="963729128">
      <w:bodyDiv w:val="1"/>
      <w:marLeft w:val="0"/>
      <w:marRight w:val="0"/>
      <w:marTop w:val="0"/>
      <w:marBottom w:val="0"/>
      <w:divBdr>
        <w:top w:val="none" w:sz="0" w:space="0" w:color="auto"/>
        <w:left w:val="none" w:sz="0" w:space="0" w:color="auto"/>
        <w:bottom w:val="none" w:sz="0" w:space="0" w:color="auto"/>
        <w:right w:val="none" w:sz="0" w:space="0" w:color="auto"/>
      </w:divBdr>
    </w:div>
    <w:div w:id="970788232">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517448">
      <w:bodyDiv w:val="1"/>
      <w:marLeft w:val="0"/>
      <w:marRight w:val="0"/>
      <w:marTop w:val="0"/>
      <w:marBottom w:val="0"/>
      <w:divBdr>
        <w:top w:val="none" w:sz="0" w:space="0" w:color="auto"/>
        <w:left w:val="none" w:sz="0" w:space="0" w:color="auto"/>
        <w:bottom w:val="none" w:sz="0" w:space="0" w:color="auto"/>
        <w:right w:val="none" w:sz="0" w:space="0" w:color="auto"/>
      </w:divBdr>
    </w:div>
    <w:div w:id="987825410">
      <w:bodyDiv w:val="1"/>
      <w:marLeft w:val="0"/>
      <w:marRight w:val="0"/>
      <w:marTop w:val="0"/>
      <w:marBottom w:val="0"/>
      <w:divBdr>
        <w:top w:val="none" w:sz="0" w:space="0" w:color="auto"/>
        <w:left w:val="none" w:sz="0" w:space="0" w:color="auto"/>
        <w:bottom w:val="none" w:sz="0" w:space="0" w:color="auto"/>
        <w:right w:val="none" w:sz="0" w:space="0" w:color="auto"/>
      </w:divBdr>
    </w:div>
    <w:div w:id="1016687004">
      <w:bodyDiv w:val="1"/>
      <w:marLeft w:val="0"/>
      <w:marRight w:val="0"/>
      <w:marTop w:val="0"/>
      <w:marBottom w:val="0"/>
      <w:divBdr>
        <w:top w:val="none" w:sz="0" w:space="0" w:color="auto"/>
        <w:left w:val="none" w:sz="0" w:space="0" w:color="auto"/>
        <w:bottom w:val="none" w:sz="0" w:space="0" w:color="auto"/>
        <w:right w:val="none" w:sz="0" w:space="0" w:color="auto"/>
      </w:divBdr>
    </w:div>
    <w:div w:id="1020741277">
      <w:bodyDiv w:val="1"/>
      <w:marLeft w:val="0"/>
      <w:marRight w:val="0"/>
      <w:marTop w:val="0"/>
      <w:marBottom w:val="0"/>
      <w:divBdr>
        <w:top w:val="none" w:sz="0" w:space="0" w:color="auto"/>
        <w:left w:val="none" w:sz="0" w:space="0" w:color="auto"/>
        <w:bottom w:val="none" w:sz="0" w:space="0" w:color="auto"/>
        <w:right w:val="none" w:sz="0" w:space="0" w:color="auto"/>
      </w:divBdr>
    </w:div>
    <w:div w:id="1023165786">
      <w:bodyDiv w:val="1"/>
      <w:marLeft w:val="0"/>
      <w:marRight w:val="0"/>
      <w:marTop w:val="0"/>
      <w:marBottom w:val="0"/>
      <w:divBdr>
        <w:top w:val="none" w:sz="0" w:space="0" w:color="auto"/>
        <w:left w:val="none" w:sz="0" w:space="0" w:color="auto"/>
        <w:bottom w:val="none" w:sz="0" w:space="0" w:color="auto"/>
        <w:right w:val="none" w:sz="0" w:space="0" w:color="auto"/>
      </w:divBdr>
    </w:div>
    <w:div w:id="1029798824">
      <w:bodyDiv w:val="1"/>
      <w:marLeft w:val="0"/>
      <w:marRight w:val="0"/>
      <w:marTop w:val="0"/>
      <w:marBottom w:val="0"/>
      <w:divBdr>
        <w:top w:val="none" w:sz="0" w:space="0" w:color="auto"/>
        <w:left w:val="none" w:sz="0" w:space="0" w:color="auto"/>
        <w:bottom w:val="none" w:sz="0" w:space="0" w:color="auto"/>
        <w:right w:val="none" w:sz="0" w:space="0" w:color="auto"/>
      </w:divBdr>
    </w:div>
    <w:div w:id="1030372409">
      <w:bodyDiv w:val="1"/>
      <w:marLeft w:val="0"/>
      <w:marRight w:val="0"/>
      <w:marTop w:val="0"/>
      <w:marBottom w:val="0"/>
      <w:divBdr>
        <w:top w:val="none" w:sz="0" w:space="0" w:color="auto"/>
        <w:left w:val="none" w:sz="0" w:space="0" w:color="auto"/>
        <w:bottom w:val="none" w:sz="0" w:space="0" w:color="auto"/>
        <w:right w:val="none" w:sz="0" w:space="0" w:color="auto"/>
      </w:divBdr>
    </w:div>
    <w:div w:id="1032456786">
      <w:bodyDiv w:val="1"/>
      <w:marLeft w:val="0"/>
      <w:marRight w:val="0"/>
      <w:marTop w:val="0"/>
      <w:marBottom w:val="0"/>
      <w:divBdr>
        <w:top w:val="none" w:sz="0" w:space="0" w:color="auto"/>
        <w:left w:val="none" w:sz="0" w:space="0" w:color="auto"/>
        <w:bottom w:val="none" w:sz="0" w:space="0" w:color="auto"/>
        <w:right w:val="none" w:sz="0" w:space="0" w:color="auto"/>
      </w:divBdr>
    </w:div>
    <w:div w:id="1032920980">
      <w:bodyDiv w:val="1"/>
      <w:marLeft w:val="0"/>
      <w:marRight w:val="0"/>
      <w:marTop w:val="0"/>
      <w:marBottom w:val="0"/>
      <w:divBdr>
        <w:top w:val="none" w:sz="0" w:space="0" w:color="auto"/>
        <w:left w:val="none" w:sz="0" w:space="0" w:color="auto"/>
        <w:bottom w:val="none" w:sz="0" w:space="0" w:color="auto"/>
        <w:right w:val="none" w:sz="0" w:space="0" w:color="auto"/>
      </w:divBdr>
    </w:div>
    <w:div w:id="1033724953">
      <w:bodyDiv w:val="1"/>
      <w:marLeft w:val="0"/>
      <w:marRight w:val="0"/>
      <w:marTop w:val="0"/>
      <w:marBottom w:val="0"/>
      <w:divBdr>
        <w:top w:val="none" w:sz="0" w:space="0" w:color="auto"/>
        <w:left w:val="none" w:sz="0" w:space="0" w:color="auto"/>
        <w:bottom w:val="none" w:sz="0" w:space="0" w:color="auto"/>
        <w:right w:val="none" w:sz="0" w:space="0" w:color="auto"/>
      </w:divBdr>
    </w:div>
    <w:div w:id="1053775703">
      <w:bodyDiv w:val="1"/>
      <w:marLeft w:val="0"/>
      <w:marRight w:val="0"/>
      <w:marTop w:val="0"/>
      <w:marBottom w:val="0"/>
      <w:divBdr>
        <w:top w:val="none" w:sz="0" w:space="0" w:color="auto"/>
        <w:left w:val="none" w:sz="0" w:space="0" w:color="auto"/>
        <w:bottom w:val="none" w:sz="0" w:space="0" w:color="auto"/>
        <w:right w:val="none" w:sz="0" w:space="0" w:color="auto"/>
      </w:divBdr>
    </w:div>
    <w:div w:id="1055548077">
      <w:bodyDiv w:val="1"/>
      <w:marLeft w:val="0"/>
      <w:marRight w:val="0"/>
      <w:marTop w:val="0"/>
      <w:marBottom w:val="0"/>
      <w:divBdr>
        <w:top w:val="none" w:sz="0" w:space="0" w:color="auto"/>
        <w:left w:val="none" w:sz="0" w:space="0" w:color="auto"/>
        <w:bottom w:val="none" w:sz="0" w:space="0" w:color="auto"/>
        <w:right w:val="none" w:sz="0" w:space="0" w:color="auto"/>
      </w:divBdr>
    </w:div>
    <w:div w:id="1061825559">
      <w:bodyDiv w:val="1"/>
      <w:marLeft w:val="0"/>
      <w:marRight w:val="0"/>
      <w:marTop w:val="0"/>
      <w:marBottom w:val="0"/>
      <w:divBdr>
        <w:top w:val="none" w:sz="0" w:space="0" w:color="auto"/>
        <w:left w:val="none" w:sz="0" w:space="0" w:color="auto"/>
        <w:bottom w:val="none" w:sz="0" w:space="0" w:color="auto"/>
        <w:right w:val="none" w:sz="0" w:space="0" w:color="auto"/>
      </w:divBdr>
    </w:div>
    <w:div w:id="1065681766">
      <w:bodyDiv w:val="1"/>
      <w:marLeft w:val="0"/>
      <w:marRight w:val="0"/>
      <w:marTop w:val="0"/>
      <w:marBottom w:val="0"/>
      <w:divBdr>
        <w:top w:val="none" w:sz="0" w:space="0" w:color="auto"/>
        <w:left w:val="none" w:sz="0" w:space="0" w:color="auto"/>
        <w:bottom w:val="none" w:sz="0" w:space="0" w:color="auto"/>
        <w:right w:val="none" w:sz="0" w:space="0" w:color="auto"/>
      </w:divBdr>
    </w:div>
    <w:div w:id="1067727345">
      <w:bodyDiv w:val="1"/>
      <w:marLeft w:val="0"/>
      <w:marRight w:val="0"/>
      <w:marTop w:val="0"/>
      <w:marBottom w:val="0"/>
      <w:divBdr>
        <w:top w:val="none" w:sz="0" w:space="0" w:color="auto"/>
        <w:left w:val="none" w:sz="0" w:space="0" w:color="auto"/>
        <w:bottom w:val="none" w:sz="0" w:space="0" w:color="auto"/>
        <w:right w:val="none" w:sz="0" w:space="0" w:color="auto"/>
      </w:divBdr>
    </w:div>
    <w:div w:id="1073821035">
      <w:bodyDiv w:val="1"/>
      <w:marLeft w:val="0"/>
      <w:marRight w:val="0"/>
      <w:marTop w:val="0"/>
      <w:marBottom w:val="0"/>
      <w:divBdr>
        <w:top w:val="none" w:sz="0" w:space="0" w:color="auto"/>
        <w:left w:val="none" w:sz="0" w:space="0" w:color="auto"/>
        <w:bottom w:val="none" w:sz="0" w:space="0" w:color="auto"/>
        <w:right w:val="none" w:sz="0" w:space="0" w:color="auto"/>
      </w:divBdr>
    </w:div>
    <w:div w:id="1079868969">
      <w:bodyDiv w:val="1"/>
      <w:marLeft w:val="0"/>
      <w:marRight w:val="0"/>
      <w:marTop w:val="0"/>
      <w:marBottom w:val="0"/>
      <w:divBdr>
        <w:top w:val="none" w:sz="0" w:space="0" w:color="auto"/>
        <w:left w:val="none" w:sz="0" w:space="0" w:color="auto"/>
        <w:bottom w:val="none" w:sz="0" w:space="0" w:color="auto"/>
        <w:right w:val="none" w:sz="0" w:space="0" w:color="auto"/>
      </w:divBdr>
    </w:div>
    <w:div w:id="1086614378">
      <w:bodyDiv w:val="1"/>
      <w:marLeft w:val="0"/>
      <w:marRight w:val="0"/>
      <w:marTop w:val="0"/>
      <w:marBottom w:val="0"/>
      <w:divBdr>
        <w:top w:val="none" w:sz="0" w:space="0" w:color="auto"/>
        <w:left w:val="none" w:sz="0" w:space="0" w:color="auto"/>
        <w:bottom w:val="none" w:sz="0" w:space="0" w:color="auto"/>
        <w:right w:val="none" w:sz="0" w:space="0" w:color="auto"/>
      </w:divBdr>
    </w:div>
    <w:div w:id="1088385726">
      <w:bodyDiv w:val="1"/>
      <w:marLeft w:val="0"/>
      <w:marRight w:val="0"/>
      <w:marTop w:val="0"/>
      <w:marBottom w:val="0"/>
      <w:divBdr>
        <w:top w:val="none" w:sz="0" w:space="0" w:color="auto"/>
        <w:left w:val="none" w:sz="0" w:space="0" w:color="auto"/>
        <w:bottom w:val="none" w:sz="0" w:space="0" w:color="auto"/>
        <w:right w:val="none" w:sz="0" w:space="0" w:color="auto"/>
      </w:divBdr>
    </w:div>
    <w:div w:id="1090393107">
      <w:bodyDiv w:val="1"/>
      <w:marLeft w:val="0"/>
      <w:marRight w:val="0"/>
      <w:marTop w:val="0"/>
      <w:marBottom w:val="0"/>
      <w:divBdr>
        <w:top w:val="none" w:sz="0" w:space="0" w:color="auto"/>
        <w:left w:val="none" w:sz="0" w:space="0" w:color="auto"/>
        <w:bottom w:val="none" w:sz="0" w:space="0" w:color="auto"/>
        <w:right w:val="none" w:sz="0" w:space="0" w:color="auto"/>
      </w:divBdr>
    </w:div>
    <w:div w:id="1099105578">
      <w:bodyDiv w:val="1"/>
      <w:marLeft w:val="0"/>
      <w:marRight w:val="0"/>
      <w:marTop w:val="0"/>
      <w:marBottom w:val="0"/>
      <w:divBdr>
        <w:top w:val="none" w:sz="0" w:space="0" w:color="auto"/>
        <w:left w:val="none" w:sz="0" w:space="0" w:color="auto"/>
        <w:bottom w:val="none" w:sz="0" w:space="0" w:color="auto"/>
        <w:right w:val="none" w:sz="0" w:space="0" w:color="auto"/>
      </w:divBdr>
    </w:div>
    <w:div w:id="1099526431">
      <w:bodyDiv w:val="1"/>
      <w:marLeft w:val="0"/>
      <w:marRight w:val="0"/>
      <w:marTop w:val="0"/>
      <w:marBottom w:val="0"/>
      <w:divBdr>
        <w:top w:val="none" w:sz="0" w:space="0" w:color="auto"/>
        <w:left w:val="none" w:sz="0" w:space="0" w:color="auto"/>
        <w:bottom w:val="none" w:sz="0" w:space="0" w:color="auto"/>
        <w:right w:val="none" w:sz="0" w:space="0" w:color="auto"/>
      </w:divBdr>
    </w:div>
    <w:div w:id="1112742787">
      <w:bodyDiv w:val="1"/>
      <w:marLeft w:val="0"/>
      <w:marRight w:val="0"/>
      <w:marTop w:val="0"/>
      <w:marBottom w:val="0"/>
      <w:divBdr>
        <w:top w:val="none" w:sz="0" w:space="0" w:color="auto"/>
        <w:left w:val="none" w:sz="0" w:space="0" w:color="auto"/>
        <w:bottom w:val="none" w:sz="0" w:space="0" w:color="auto"/>
        <w:right w:val="none" w:sz="0" w:space="0" w:color="auto"/>
      </w:divBdr>
    </w:div>
    <w:div w:id="1124927951">
      <w:bodyDiv w:val="1"/>
      <w:marLeft w:val="0"/>
      <w:marRight w:val="0"/>
      <w:marTop w:val="0"/>
      <w:marBottom w:val="0"/>
      <w:divBdr>
        <w:top w:val="none" w:sz="0" w:space="0" w:color="auto"/>
        <w:left w:val="none" w:sz="0" w:space="0" w:color="auto"/>
        <w:bottom w:val="none" w:sz="0" w:space="0" w:color="auto"/>
        <w:right w:val="none" w:sz="0" w:space="0" w:color="auto"/>
      </w:divBdr>
    </w:div>
    <w:div w:id="1135173684">
      <w:bodyDiv w:val="1"/>
      <w:marLeft w:val="0"/>
      <w:marRight w:val="0"/>
      <w:marTop w:val="0"/>
      <w:marBottom w:val="0"/>
      <w:divBdr>
        <w:top w:val="none" w:sz="0" w:space="0" w:color="auto"/>
        <w:left w:val="none" w:sz="0" w:space="0" w:color="auto"/>
        <w:bottom w:val="none" w:sz="0" w:space="0" w:color="auto"/>
        <w:right w:val="none" w:sz="0" w:space="0" w:color="auto"/>
      </w:divBdr>
    </w:div>
    <w:div w:id="1136486656">
      <w:bodyDiv w:val="1"/>
      <w:marLeft w:val="0"/>
      <w:marRight w:val="0"/>
      <w:marTop w:val="0"/>
      <w:marBottom w:val="0"/>
      <w:divBdr>
        <w:top w:val="none" w:sz="0" w:space="0" w:color="auto"/>
        <w:left w:val="none" w:sz="0" w:space="0" w:color="auto"/>
        <w:bottom w:val="none" w:sz="0" w:space="0" w:color="auto"/>
        <w:right w:val="none" w:sz="0" w:space="0" w:color="auto"/>
      </w:divBdr>
    </w:div>
    <w:div w:id="1141076946">
      <w:bodyDiv w:val="1"/>
      <w:marLeft w:val="0"/>
      <w:marRight w:val="0"/>
      <w:marTop w:val="0"/>
      <w:marBottom w:val="0"/>
      <w:divBdr>
        <w:top w:val="none" w:sz="0" w:space="0" w:color="auto"/>
        <w:left w:val="none" w:sz="0" w:space="0" w:color="auto"/>
        <w:bottom w:val="none" w:sz="0" w:space="0" w:color="auto"/>
        <w:right w:val="none" w:sz="0" w:space="0" w:color="auto"/>
      </w:divBdr>
    </w:div>
    <w:div w:id="1143230193">
      <w:bodyDiv w:val="1"/>
      <w:marLeft w:val="0"/>
      <w:marRight w:val="0"/>
      <w:marTop w:val="0"/>
      <w:marBottom w:val="0"/>
      <w:divBdr>
        <w:top w:val="none" w:sz="0" w:space="0" w:color="auto"/>
        <w:left w:val="none" w:sz="0" w:space="0" w:color="auto"/>
        <w:bottom w:val="none" w:sz="0" w:space="0" w:color="auto"/>
        <w:right w:val="none" w:sz="0" w:space="0" w:color="auto"/>
      </w:divBdr>
    </w:div>
    <w:div w:id="1145665054">
      <w:bodyDiv w:val="1"/>
      <w:marLeft w:val="0"/>
      <w:marRight w:val="0"/>
      <w:marTop w:val="0"/>
      <w:marBottom w:val="0"/>
      <w:divBdr>
        <w:top w:val="none" w:sz="0" w:space="0" w:color="auto"/>
        <w:left w:val="none" w:sz="0" w:space="0" w:color="auto"/>
        <w:bottom w:val="none" w:sz="0" w:space="0" w:color="auto"/>
        <w:right w:val="none" w:sz="0" w:space="0" w:color="auto"/>
      </w:divBdr>
    </w:div>
    <w:div w:id="1151210829">
      <w:bodyDiv w:val="1"/>
      <w:marLeft w:val="0"/>
      <w:marRight w:val="0"/>
      <w:marTop w:val="0"/>
      <w:marBottom w:val="0"/>
      <w:divBdr>
        <w:top w:val="none" w:sz="0" w:space="0" w:color="auto"/>
        <w:left w:val="none" w:sz="0" w:space="0" w:color="auto"/>
        <w:bottom w:val="none" w:sz="0" w:space="0" w:color="auto"/>
        <w:right w:val="none" w:sz="0" w:space="0" w:color="auto"/>
      </w:divBdr>
    </w:div>
    <w:div w:id="1154570922">
      <w:bodyDiv w:val="1"/>
      <w:marLeft w:val="0"/>
      <w:marRight w:val="0"/>
      <w:marTop w:val="0"/>
      <w:marBottom w:val="0"/>
      <w:divBdr>
        <w:top w:val="none" w:sz="0" w:space="0" w:color="auto"/>
        <w:left w:val="none" w:sz="0" w:space="0" w:color="auto"/>
        <w:bottom w:val="none" w:sz="0" w:space="0" w:color="auto"/>
        <w:right w:val="none" w:sz="0" w:space="0" w:color="auto"/>
      </w:divBdr>
    </w:div>
    <w:div w:id="1160192092">
      <w:bodyDiv w:val="1"/>
      <w:marLeft w:val="0"/>
      <w:marRight w:val="0"/>
      <w:marTop w:val="0"/>
      <w:marBottom w:val="0"/>
      <w:divBdr>
        <w:top w:val="none" w:sz="0" w:space="0" w:color="auto"/>
        <w:left w:val="none" w:sz="0" w:space="0" w:color="auto"/>
        <w:bottom w:val="none" w:sz="0" w:space="0" w:color="auto"/>
        <w:right w:val="none" w:sz="0" w:space="0" w:color="auto"/>
      </w:divBdr>
    </w:div>
    <w:div w:id="1161773375">
      <w:bodyDiv w:val="1"/>
      <w:marLeft w:val="0"/>
      <w:marRight w:val="0"/>
      <w:marTop w:val="0"/>
      <w:marBottom w:val="0"/>
      <w:divBdr>
        <w:top w:val="none" w:sz="0" w:space="0" w:color="auto"/>
        <w:left w:val="none" w:sz="0" w:space="0" w:color="auto"/>
        <w:bottom w:val="none" w:sz="0" w:space="0" w:color="auto"/>
        <w:right w:val="none" w:sz="0" w:space="0" w:color="auto"/>
      </w:divBdr>
    </w:div>
    <w:div w:id="1167598357">
      <w:bodyDiv w:val="1"/>
      <w:marLeft w:val="0"/>
      <w:marRight w:val="0"/>
      <w:marTop w:val="0"/>
      <w:marBottom w:val="0"/>
      <w:divBdr>
        <w:top w:val="none" w:sz="0" w:space="0" w:color="auto"/>
        <w:left w:val="none" w:sz="0" w:space="0" w:color="auto"/>
        <w:bottom w:val="none" w:sz="0" w:space="0" w:color="auto"/>
        <w:right w:val="none" w:sz="0" w:space="0" w:color="auto"/>
      </w:divBdr>
    </w:div>
    <w:div w:id="1175263036">
      <w:bodyDiv w:val="1"/>
      <w:marLeft w:val="0"/>
      <w:marRight w:val="0"/>
      <w:marTop w:val="0"/>
      <w:marBottom w:val="0"/>
      <w:divBdr>
        <w:top w:val="none" w:sz="0" w:space="0" w:color="auto"/>
        <w:left w:val="none" w:sz="0" w:space="0" w:color="auto"/>
        <w:bottom w:val="none" w:sz="0" w:space="0" w:color="auto"/>
        <w:right w:val="none" w:sz="0" w:space="0" w:color="auto"/>
      </w:divBdr>
    </w:div>
    <w:div w:id="1177572037">
      <w:bodyDiv w:val="1"/>
      <w:marLeft w:val="0"/>
      <w:marRight w:val="0"/>
      <w:marTop w:val="0"/>
      <w:marBottom w:val="0"/>
      <w:divBdr>
        <w:top w:val="none" w:sz="0" w:space="0" w:color="auto"/>
        <w:left w:val="none" w:sz="0" w:space="0" w:color="auto"/>
        <w:bottom w:val="none" w:sz="0" w:space="0" w:color="auto"/>
        <w:right w:val="none" w:sz="0" w:space="0" w:color="auto"/>
      </w:divBdr>
    </w:div>
    <w:div w:id="1183857124">
      <w:bodyDiv w:val="1"/>
      <w:marLeft w:val="0"/>
      <w:marRight w:val="0"/>
      <w:marTop w:val="0"/>
      <w:marBottom w:val="0"/>
      <w:divBdr>
        <w:top w:val="none" w:sz="0" w:space="0" w:color="auto"/>
        <w:left w:val="none" w:sz="0" w:space="0" w:color="auto"/>
        <w:bottom w:val="none" w:sz="0" w:space="0" w:color="auto"/>
        <w:right w:val="none" w:sz="0" w:space="0" w:color="auto"/>
      </w:divBdr>
    </w:div>
    <w:div w:id="1185480753">
      <w:bodyDiv w:val="1"/>
      <w:marLeft w:val="0"/>
      <w:marRight w:val="0"/>
      <w:marTop w:val="0"/>
      <w:marBottom w:val="0"/>
      <w:divBdr>
        <w:top w:val="none" w:sz="0" w:space="0" w:color="auto"/>
        <w:left w:val="none" w:sz="0" w:space="0" w:color="auto"/>
        <w:bottom w:val="none" w:sz="0" w:space="0" w:color="auto"/>
        <w:right w:val="none" w:sz="0" w:space="0" w:color="auto"/>
      </w:divBdr>
    </w:div>
    <w:div w:id="1186362526">
      <w:bodyDiv w:val="1"/>
      <w:marLeft w:val="0"/>
      <w:marRight w:val="0"/>
      <w:marTop w:val="0"/>
      <w:marBottom w:val="0"/>
      <w:divBdr>
        <w:top w:val="none" w:sz="0" w:space="0" w:color="auto"/>
        <w:left w:val="none" w:sz="0" w:space="0" w:color="auto"/>
        <w:bottom w:val="none" w:sz="0" w:space="0" w:color="auto"/>
        <w:right w:val="none" w:sz="0" w:space="0" w:color="auto"/>
      </w:divBdr>
    </w:div>
    <w:div w:id="1195844233">
      <w:bodyDiv w:val="1"/>
      <w:marLeft w:val="0"/>
      <w:marRight w:val="0"/>
      <w:marTop w:val="0"/>
      <w:marBottom w:val="0"/>
      <w:divBdr>
        <w:top w:val="none" w:sz="0" w:space="0" w:color="auto"/>
        <w:left w:val="none" w:sz="0" w:space="0" w:color="auto"/>
        <w:bottom w:val="none" w:sz="0" w:space="0" w:color="auto"/>
        <w:right w:val="none" w:sz="0" w:space="0" w:color="auto"/>
      </w:divBdr>
    </w:div>
    <w:div w:id="1222208569">
      <w:bodyDiv w:val="1"/>
      <w:marLeft w:val="0"/>
      <w:marRight w:val="0"/>
      <w:marTop w:val="0"/>
      <w:marBottom w:val="0"/>
      <w:divBdr>
        <w:top w:val="none" w:sz="0" w:space="0" w:color="auto"/>
        <w:left w:val="none" w:sz="0" w:space="0" w:color="auto"/>
        <w:bottom w:val="none" w:sz="0" w:space="0" w:color="auto"/>
        <w:right w:val="none" w:sz="0" w:space="0" w:color="auto"/>
      </w:divBdr>
    </w:div>
    <w:div w:id="1223440105">
      <w:bodyDiv w:val="1"/>
      <w:marLeft w:val="0"/>
      <w:marRight w:val="0"/>
      <w:marTop w:val="0"/>
      <w:marBottom w:val="0"/>
      <w:divBdr>
        <w:top w:val="none" w:sz="0" w:space="0" w:color="auto"/>
        <w:left w:val="none" w:sz="0" w:space="0" w:color="auto"/>
        <w:bottom w:val="none" w:sz="0" w:space="0" w:color="auto"/>
        <w:right w:val="none" w:sz="0" w:space="0" w:color="auto"/>
      </w:divBdr>
    </w:div>
    <w:div w:id="1224172890">
      <w:bodyDiv w:val="1"/>
      <w:marLeft w:val="0"/>
      <w:marRight w:val="0"/>
      <w:marTop w:val="0"/>
      <w:marBottom w:val="0"/>
      <w:divBdr>
        <w:top w:val="none" w:sz="0" w:space="0" w:color="auto"/>
        <w:left w:val="none" w:sz="0" w:space="0" w:color="auto"/>
        <w:bottom w:val="none" w:sz="0" w:space="0" w:color="auto"/>
        <w:right w:val="none" w:sz="0" w:space="0" w:color="auto"/>
      </w:divBdr>
    </w:div>
    <w:div w:id="1229658011">
      <w:bodyDiv w:val="1"/>
      <w:marLeft w:val="0"/>
      <w:marRight w:val="0"/>
      <w:marTop w:val="0"/>
      <w:marBottom w:val="0"/>
      <w:divBdr>
        <w:top w:val="none" w:sz="0" w:space="0" w:color="auto"/>
        <w:left w:val="none" w:sz="0" w:space="0" w:color="auto"/>
        <w:bottom w:val="none" w:sz="0" w:space="0" w:color="auto"/>
        <w:right w:val="none" w:sz="0" w:space="0" w:color="auto"/>
      </w:divBdr>
    </w:div>
    <w:div w:id="1233929317">
      <w:bodyDiv w:val="1"/>
      <w:marLeft w:val="0"/>
      <w:marRight w:val="0"/>
      <w:marTop w:val="0"/>
      <w:marBottom w:val="0"/>
      <w:divBdr>
        <w:top w:val="none" w:sz="0" w:space="0" w:color="auto"/>
        <w:left w:val="none" w:sz="0" w:space="0" w:color="auto"/>
        <w:bottom w:val="none" w:sz="0" w:space="0" w:color="auto"/>
        <w:right w:val="none" w:sz="0" w:space="0" w:color="auto"/>
      </w:divBdr>
    </w:div>
    <w:div w:id="1241063113">
      <w:bodyDiv w:val="1"/>
      <w:marLeft w:val="0"/>
      <w:marRight w:val="0"/>
      <w:marTop w:val="0"/>
      <w:marBottom w:val="0"/>
      <w:divBdr>
        <w:top w:val="none" w:sz="0" w:space="0" w:color="auto"/>
        <w:left w:val="none" w:sz="0" w:space="0" w:color="auto"/>
        <w:bottom w:val="none" w:sz="0" w:space="0" w:color="auto"/>
        <w:right w:val="none" w:sz="0" w:space="0" w:color="auto"/>
      </w:divBdr>
    </w:div>
    <w:div w:id="1270821302">
      <w:bodyDiv w:val="1"/>
      <w:marLeft w:val="0"/>
      <w:marRight w:val="0"/>
      <w:marTop w:val="0"/>
      <w:marBottom w:val="0"/>
      <w:divBdr>
        <w:top w:val="none" w:sz="0" w:space="0" w:color="auto"/>
        <w:left w:val="none" w:sz="0" w:space="0" w:color="auto"/>
        <w:bottom w:val="none" w:sz="0" w:space="0" w:color="auto"/>
        <w:right w:val="none" w:sz="0" w:space="0" w:color="auto"/>
      </w:divBdr>
    </w:div>
    <w:div w:id="1270967085">
      <w:bodyDiv w:val="1"/>
      <w:marLeft w:val="0"/>
      <w:marRight w:val="0"/>
      <w:marTop w:val="0"/>
      <w:marBottom w:val="0"/>
      <w:divBdr>
        <w:top w:val="none" w:sz="0" w:space="0" w:color="auto"/>
        <w:left w:val="none" w:sz="0" w:space="0" w:color="auto"/>
        <w:bottom w:val="none" w:sz="0" w:space="0" w:color="auto"/>
        <w:right w:val="none" w:sz="0" w:space="0" w:color="auto"/>
      </w:divBdr>
    </w:div>
    <w:div w:id="1271353266">
      <w:bodyDiv w:val="1"/>
      <w:marLeft w:val="0"/>
      <w:marRight w:val="0"/>
      <w:marTop w:val="0"/>
      <w:marBottom w:val="0"/>
      <w:divBdr>
        <w:top w:val="none" w:sz="0" w:space="0" w:color="auto"/>
        <w:left w:val="none" w:sz="0" w:space="0" w:color="auto"/>
        <w:bottom w:val="none" w:sz="0" w:space="0" w:color="auto"/>
        <w:right w:val="none" w:sz="0" w:space="0" w:color="auto"/>
      </w:divBdr>
    </w:div>
    <w:div w:id="1297175814">
      <w:bodyDiv w:val="1"/>
      <w:marLeft w:val="0"/>
      <w:marRight w:val="0"/>
      <w:marTop w:val="0"/>
      <w:marBottom w:val="0"/>
      <w:divBdr>
        <w:top w:val="none" w:sz="0" w:space="0" w:color="auto"/>
        <w:left w:val="none" w:sz="0" w:space="0" w:color="auto"/>
        <w:bottom w:val="none" w:sz="0" w:space="0" w:color="auto"/>
        <w:right w:val="none" w:sz="0" w:space="0" w:color="auto"/>
      </w:divBdr>
    </w:div>
    <w:div w:id="1312710870">
      <w:bodyDiv w:val="1"/>
      <w:marLeft w:val="0"/>
      <w:marRight w:val="0"/>
      <w:marTop w:val="0"/>
      <w:marBottom w:val="0"/>
      <w:divBdr>
        <w:top w:val="none" w:sz="0" w:space="0" w:color="auto"/>
        <w:left w:val="none" w:sz="0" w:space="0" w:color="auto"/>
        <w:bottom w:val="none" w:sz="0" w:space="0" w:color="auto"/>
        <w:right w:val="none" w:sz="0" w:space="0" w:color="auto"/>
      </w:divBdr>
    </w:div>
    <w:div w:id="1317413409">
      <w:bodyDiv w:val="1"/>
      <w:marLeft w:val="0"/>
      <w:marRight w:val="0"/>
      <w:marTop w:val="0"/>
      <w:marBottom w:val="0"/>
      <w:divBdr>
        <w:top w:val="none" w:sz="0" w:space="0" w:color="auto"/>
        <w:left w:val="none" w:sz="0" w:space="0" w:color="auto"/>
        <w:bottom w:val="none" w:sz="0" w:space="0" w:color="auto"/>
        <w:right w:val="none" w:sz="0" w:space="0" w:color="auto"/>
      </w:divBdr>
    </w:div>
    <w:div w:id="1344551998">
      <w:bodyDiv w:val="1"/>
      <w:marLeft w:val="0"/>
      <w:marRight w:val="0"/>
      <w:marTop w:val="0"/>
      <w:marBottom w:val="0"/>
      <w:divBdr>
        <w:top w:val="none" w:sz="0" w:space="0" w:color="auto"/>
        <w:left w:val="none" w:sz="0" w:space="0" w:color="auto"/>
        <w:bottom w:val="none" w:sz="0" w:space="0" w:color="auto"/>
        <w:right w:val="none" w:sz="0" w:space="0" w:color="auto"/>
      </w:divBdr>
    </w:div>
    <w:div w:id="1345211432">
      <w:bodyDiv w:val="1"/>
      <w:marLeft w:val="0"/>
      <w:marRight w:val="0"/>
      <w:marTop w:val="0"/>
      <w:marBottom w:val="0"/>
      <w:divBdr>
        <w:top w:val="none" w:sz="0" w:space="0" w:color="auto"/>
        <w:left w:val="none" w:sz="0" w:space="0" w:color="auto"/>
        <w:bottom w:val="none" w:sz="0" w:space="0" w:color="auto"/>
        <w:right w:val="none" w:sz="0" w:space="0" w:color="auto"/>
      </w:divBdr>
    </w:div>
    <w:div w:id="1350714286">
      <w:bodyDiv w:val="1"/>
      <w:marLeft w:val="0"/>
      <w:marRight w:val="0"/>
      <w:marTop w:val="0"/>
      <w:marBottom w:val="0"/>
      <w:divBdr>
        <w:top w:val="none" w:sz="0" w:space="0" w:color="auto"/>
        <w:left w:val="none" w:sz="0" w:space="0" w:color="auto"/>
        <w:bottom w:val="none" w:sz="0" w:space="0" w:color="auto"/>
        <w:right w:val="none" w:sz="0" w:space="0" w:color="auto"/>
      </w:divBdr>
    </w:div>
    <w:div w:id="1351489344">
      <w:bodyDiv w:val="1"/>
      <w:marLeft w:val="0"/>
      <w:marRight w:val="0"/>
      <w:marTop w:val="0"/>
      <w:marBottom w:val="0"/>
      <w:divBdr>
        <w:top w:val="none" w:sz="0" w:space="0" w:color="auto"/>
        <w:left w:val="none" w:sz="0" w:space="0" w:color="auto"/>
        <w:bottom w:val="none" w:sz="0" w:space="0" w:color="auto"/>
        <w:right w:val="none" w:sz="0" w:space="0" w:color="auto"/>
      </w:divBdr>
    </w:div>
    <w:div w:id="1362391664">
      <w:bodyDiv w:val="1"/>
      <w:marLeft w:val="0"/>
      <w:marRight w:val="0"/>
      <w:marTop w:val="0"/>
      <w:marBottom w:val="0"/>
      <w:divBdr>
        <w:top w:val="none" w:sz="0" w:space="0" w:color="auto"/>
        <w:left w:val="none" w:sz="0" w:space="0" w:color="auto"/>
        <w:bottom w:val="none" w:sz="0" w:space="0" w:color="auto"/>
        <w:right w:val="none" w:sz="0" w:space="0" w:color="auto"/>
      </w:divBdr>
    </w:div>
    <w:div w:id="1363478574">
      <w:bodyDiv w:val="1"/>
      <w:marLeft w:val="0"/>
      <w:marRight w:val="0"/>
      <w:marTop w:val="0"/>
      <w:marBottom w:val="0"/>
      <w:divBdr>
        <w:top w:val="none" w:sz="0" w:space="0" w:color="auto"/>
        <w:left w:val="none" w:sz="0" w:space="0" w:color="auto"/>
        <w:bottom w:val="none" w:sz="0" w:space="0" w:color="auto"/>
        <w:right w:val="none" w:sz="0" w:space="0" w:color="auto"/>
      </w:divBdr>
    </w:div>
    <w:div w:id="1369263117">
      <w:bodyDiv w:val="1"/>
      <w:marLeft w:val="0"/>
      <w:marRight w:val="0"/>
      <w:marTop w:val="0"/>
      <w:marBottom w:val="0"/>
      <w:divBdr>
        <w:top w:val="none" w:sz="0" w:space="0" w:color="auto"/>
        <w:left w:val="none" w:sz="0" w:space="0" w:color="auto"/>
        <w:bottom w:val="none" w:sz="0" w:space="0" w:color="auto"/>
        <w:right w:val="none" w:sz="0" w:space="0" w:color="auto"/>
      </w:divBdr>
    </w:div>
    <w:div w:id="1387950518">
      <w:bodyDiv w:val="1"/>
      <w:marLeft w:val="0"/>
      <w:marRight w:val="0"/>
      <w:marTop w:val="0"/>
      <w:marBottom w:val="0"/>
      <w:divBdr>
        <w:top w:val="none" w:sz="0" w:space="0" w:color="auto"/>
        <w:left w:val="none" w:sz="0" w:space="0" w:color="auto"/>
        <w:bottom w:val="none" w:sz="0" w:space="0" w:color="auto"/>
        <w:right w:val="none" w:sz="0" w:space="0" w:color="auto"/>
      </w:divBdr>
    </w:div>
    <w:div w:id="1388265291">
      <w:bodyDiv w:val="1"/>
      <w:marLeft w:val="0"/>
      <w:marRight w:val="0"/>
      <w:marTop w:val="0"/>
      <w:marBottom w:val="0"/>
      <w:divBdr>
        <w:top w:val="none" w:sz="0" w:space="0" w:color="auto"/>
        <w:left w:val="none" w:sz="0" w:space="0" w:color="auto"/>
        <w:bottom w:val="none" w:sz="0" w:space="0" w:color="auto"/>
        <w:right w:val="none" w:sz="0" w:space="0" w:color="auto"/>
      </w:divBdr>
    </w:div>
    <w:div w:id="1396582590">
      <w:bodyDiv w:val="1"/>
      <w:marLeft w:val="0"/>
      <w:marRight w:val="0"/>
      <w:marTop w:val="0"/>
      <w:marBottom w:val="0"/>
      <w:divBdr>
        <w:top w:val="none" w:sz="0" w:space="0" w:color="auto"/>
        <w:left w:val="none" w:sz="0" w:space="0" w:color="auto"/>
        <w:bottom w:val="none" w:sz="0" w:space="0" w:color="auto"/>
        <w:right w:val="none" w:sz="0" w:space="0" w:color="auto"/>
      </w:divBdr>
    </w:div>
    <w:div w:id="1400516230">
      <w:bodyDiv w:val="1"/>
      <w:marLeft w:val="0"/>
      <w:marRight w:val="0"/>
      <w:marTop w:val="0"/>
      <w:marBottom w:val="0"/>
      <w:divBdr>
        <w:top w:val="none" w:sz="0" w:space="0" w:color="auto"/>
        <w:left w:val="none" w:sz="0" w:space="0" w:color="auto"/>
        <w:bottom w:val="none" w:sz="0" w:space="0" w:color="auto"/>
        <w:right w:val="none" w:sz="0" w:space="0" w:color="auto"/>
      </w:divBdr>
    </w:div>
    <w:div w:id="1400665827">
      <w:bodyDiv w:val="1"/>
      <w:marLeft w:val="0"/>
      <w:marRight w:val="0"/>
      <w:marTop w:val="0"/>
      <w:marBottom w:val="0"/>
      <w:divBdr>
        <w:top w:val="none" w:sz="0" w:space="0" w:color="auto"/>
        <w:left w:val="none" w:sz="0" w:space="0" w:color="auto"/>
        <w:bottom w:val="none" w:sz="0" w:space="0" w:color="auto"/>
        <w:right w:val="none" w:sz="0" w:space="0" w:color="auto"/>
      </w:divBdr>
    </w:div>
    <w:div w:id="1429736690">
      <w:bodyDiv w:val="1"/>
      <w:marLeft w:val="0"/>
      <w:marRight w:val="0"/>
      <w:marTop w:val="0"/>
      <w:marBottom w:val="0"/>
      <w:divBdr>
        <w:top w:val="none" w:sz="0" w:space="0" w:color="auto"/>
        <w:left w:val="none" w:sz="0" w:space="0" w:color="auto"/>
        <w:bottom w:val="none" w:sz="0" w:space="0" w:color="auto"/>
        <w:right w:val="none" w:sz="0" w:space="0" w:color="auto"/>
      </w:divBdr>
    </w:div>
    <w:div w:id="1430079544">
      <w:bodyDiv w:val="1"/>
      <w:marLeft w:val="0"/>
      <w:marRight w:val="0"/>
      <w:marTop w:val="0"/>
      <w:marBottom w:val="0"/>
      <w:divBdr>
        <w:top w:val="none" w:sz="0" w:space="0" w:color="auto"/>
        <w:left w:val="none" w:sz="0" w:space="0" w:color="auto"/>
        <w:bottom w:val="none" w:sz="0" w:space="0" w:color="auto"/>
        <w:right w:val="none" w:sz="0" w:space="0" w:color="auto"/>
      </w:divBdr>
    </w:div>
    <w:div w:id="1435052102">
      <w:bodyDiv w:val="1"/>
      <w:marLeft w:val="0"/>
      <w:marRight w:val="0"/>
      <w:marTop w:val="0"/>
      <w:marBottom w:val="0"/>
      <w:divBdr>
        <w:top w:val="none" w:sz="0" w:space="0" w:color="auto"/>
        <w:left w:val="none" w:sz="0" w:space="0" w:color="auto"/>
        <w:bottom w:val="none" w:sz="0" w:space="0" w:color="auto"/>
        <w:right w:val="none" w:sz="0" w:space="0" w:color="auto"/>
      </w:divBdr>
    </w:div>
    <w:div w:id="1438216372">
      <w:bodyDiv w:val="1"/>
      <w:marLeft w:val="0"/>
      <w:marRight w:val="0"/>
      <w:marTop w:val="0"/>
      <w:marBottom w:val="0"/>
      <w:divBdr>
        <w:top w:val="none" w:sz="0" w:space="0" w:color="auto"/>
        <w:left w:val="none" w:sz="0" w:space="0" w:color="auto"/>
        <w:bottom w:val="none" w:sz="0" w:space="0" w:color="auto"/>
        <w:right w:val="none" w:sz="0" w:space="0" w:color="auto"/>
      </w:divBdr>
    </w:div>
    <w:div w:id="1441100803">
      <w:bodyDiv w:val="1"/>
      <w:marLeft w:val="0"/>
      <w:marRight w:val="0"/>
      <w:marTop w:val="0"/>
      <w:marBottom w:val="0"/>
      <w:divBdr>
        <w:top w:val="none" w:sz="0" w:space="0" w:color="auto"/>
        <w:left w:val="none" w:sz="0" w:space="0" w:color="auto"/>
        <w:bottom w:val="none" w:sz="0" w:space="0" w:color="auto"/>
        <w:right w:val="none" w:sz="0" w:space="0" w:color="auto"/>
      </w:divBdr>
    </w:div>
    <w:div w:id="1441560989">
      <w:bodyDiv w:val="1"/>
      <w:marLeft w:val="0"/>
      <w:marRight w:val="0"/>
      <w:marTop w:val="0"/>
      <w:marBottom w:val="0"/>
      <w:divBdr>
        <w:top w:val="none" w:sz="0" w:space="0" w:color="auto"/>
        <w:left w:val="none" w:sz="0" w:space="0" w:color="auto"/>
        <w:bottom w:val="none" w:sz="0" w:space="0" w:color="auto"/>
        <w:right w:val="none" w:sz="0" w:space="0" w:color="auto"/>
      </w:divBdr>
    </w:div>
    <w:div w:id="1452632216">
      <w:bodyDiv w:val="1"/>
      <w:marLeft w:val="0"/>
      <w:marRight w:val="0"/>
      <w:marTop w:val="0"/>
      <w:marBottom w:val="0"/>
      <w:divBdr>
        <w:top w:val="none" w:sz="0" w:space="0" w:color="auto"/>
        <w:left w:val="none" w:sz="0" w:space="0" w:color="auto"/>
        <w:bottom w:val="none" w:sz="0" w:space="0" w:color="auto"/>
        <w:right w:val="none" w:sz="0" w:space="0" w:color="auto"/>
      </w:divBdr>
    </w:div>
    <w:div w:id="1454858617">
      <w:bodyDiv w:val="1"/>
      <w:marLeft w:val="0"/>
      <w:marRight w:val="0"/>
      <w:marTop w:val="0"/>
      <w:marBottom w:val="0"/>
      <w:divBdr>
        <w:top w:val="none" w:sz="0" w:space="0" w:color="auto"/>
        <w:left w:val="none" w:sz="0" w:space="0" w:color="auto"/>
        <w:bottom w:val="none" w:sz="0" w:space="0" w:color="auto"/>
        <w:right w:val="none" w:sz="0" w:space="0" w:color="auto"/>
      </w:divBdr>
    </w:div>
    <w:div w:id="1474519592">
      <w:bodyDiv w:val="1"/>
      <w:marLeft w:val="0"/>
      <w:marRight w:val="0"/>
      <w:marTop w:val="0"/>
      <w:marBottom w:val="0"/>
      <w:divBdr>
        <w:top w:val="none" w:sz="0" w:space="0" w:color="auto"/>
        <w:left w:val="none" w:sz="0" w:space="0" w:color="auto"/>
        <w:bottom w:val="none" w:sz="0" w:space="0" w:color="auto"/>
        <w:right w:val="none" w:sz="0" w:space="0" w:color="auto"/>
      </w:divBdr>
    </w:div>
    <w:div w:id="1476095509">
      <w:bodyDiv w:val="1"/>
      <w:marLeft w:val="0"/>
      <w:marRight w:val="0"/>
      <w:marTop w:val="0"/>
      <w:marBottom w:val="0"/>
      <w:divBdr>
        <w:top w:val="none" w:sz="0" w:space="0" w:color="auto"/>
        <w:left w:val="none" w:sz="0" w:space="0" w:color="auto"/>
        <w:bottom w:val="none" w:sz="0" w:space="0" w:color="auto"/>
        <w:right w:val="none" w:sz="0" w:space="0" w:color="auto"/>
      </w:divBdr>
    </w:div>
    <w:div w:id="1487092579">
      <w:bodyDiv w:val="1"/>
      <w:marLeft w:val="0"/>
      <w:marRight w:val="0"/>
      <w:marTop w:val="0"/>
      <w:marBottom w:val="0"/>
      <w:divBdr>
        <w:top w:val="none" w:sz="0" w:space="0" w:color="auto"/>
        <w:left w:val="none" w:sz="0" w:space="0" w:color="auto"/>
        <w:bottom w:val="none" w:sz="0" w:space="0" w:color="auto"/>
        <w:right w:val="none" w:sz="0" w:space="0" w:color="auto"/>
      </w:divBdr>
    </w:div>
    <w:div w:id="1489125802">
      <w:bodyDiv w:val="1"/>
      <w:marLeft w:val="0"/>
      <w:marRight w:val="0"/>
      <w:marTop w:val="0"/>
      <w:marBottom w:val="0"/>
      <w:divBdr>
        <w:top w:val="none" w:sz="0" w:space="0" w:color="auto"/>
        <w:left w:val="none" w:sz="0" w:space="0" w:color="auto"/>
        <w:bottom w:val="none" w:sz="0" w:space="0" w:color="auto"/>
        <w:right w:val="none" w:sz="0" w:space="0" w:color="auto"/>
      </w:divBdr>
    </w:div>
    <w:div w:id="1497988840">
      <w:bodyDiv w:val="1"/>
      <w:marLeft w:val="0"/>
      <w:marRight w:val="0"/>
      <w:marTop w:val="0"/>
      <w:marBottom w:val="0"/>
      <w:divBdr>
        <w:top w:val="none" w:sz="0" w:space="0" w:color="auto"/>
        <w:left w:val="none" w:sz="0" w:space="0" w:color="auto"/>
        <w:bottom w:val="none" w:sz="0" w:space="0" w:color="auto"/>
        <w:right w:val="none" w:sz="0" w:space="0" w:color="auto"/>
      </w:divBdr>
    </w:div>
    <w:div w:id="1505853157">
      <w:bodyDiv w:val="1"/>
      <w:marLeft w:val="0"/>
      <w:marRight w:val="0"/>
      <w:marTop w:val="0"/>
      <w:marBottom w:val="0"/>
      <w:divBdr>
        <w:top w:val="none" w:sz="0" w:space="0" w:color="auto"/>
        <w:left w:val="none" w:sz="0" w:space="0" w:color="auto"/>
        <w:bottom w:val="none" w:sz="0" w:space="0" w:color="auto"/>
        <w:right w:val="none" w:sz="0" w:space="0" w:color="auto"/>
      </w:divBdr>
    </w:div>
    <w:div w:id="1508400967">
      <w:bodyDiv w:val="1"/>
      <w:marLeft w:val="0"/>
      <w:marRight w:val="0"/>
      <w:marTop w:val="0"/>
      <w:marBottom w:val="0"/>
      <w:divBdr>
        <w:top w:val="none" w:sz="0" w:space="0" w:color="auto"/>
        <w:left w:val="none" w:sz="0" w:space="0" w:color="auto"/>
        <w:bottom w:val="none" w:sz="0" w:space="0" w:color="auto"/>
        <w:right w:val="none" w:sz="0" w:space="0" w:color="auto"/>
      </w:divBdr>
    </w:div>
    <w:div w:id="1515925098">
      <w:bodyDiv w:val="1"/>
      <w:marLeft w:val="0"/>
      <w:marRight w:val="0"/>
      <w:marTop w:val="0"/>
      <w:marBottom w:val="0"/>
      <w:divBdr>
        <w:top w:val="none" w:sz="0" w:space="0" w:color="auto"/>
        <w:left w:val="none" w:sz="0" w:space="0" w:color="auto"/>
        <w:bottom w:val="none" w:sz="0" w:space="0" w:color="auto"/>
        <w:right w:val="none" w:sz="0" w:space="0" w:color="auto"/>
      </w:divBdr>
    </w:div>
    <w:div w:id="1519074513">
      <w:bodyDiv w:val="1"/>
      <w:marLeft w:val="0"/>
      <w:marRight w:val="0"/>
      <w:marTop w:val="0"/>
      <w:marBottom w:val="0"/>
      <w:divBdr>
        <w:top w:val="none" w:sz="0" w:space="0" w:color="auto"/>
        <w:left w:val="none" w:sz="0" w:space="0" w:color="auto"/>
        <w:bottom w:val="none" w:sz="0" w:space="0" w:color="auto"/>
        <w:right w:val="none" w:sz="0" w:space="0" w:color="auto"/>
      </w:divBdr>
    </w:div>
    <w:div w:id="1527794926">
      <w:bodyDiv w:val="1"/>
      <w:marLeft w:val="0"/>
      <w:marRight w:val="0"/>
      <w:marTop w:val="0"/>
      <w:marBottom w:val="0"/>
      <w:divBdr>
        <w:top w:val="none" w:sz="0" w:space="0" w:color="auto"/>
        <w:left w:val="none" w:sz="0" w:space="0" w:color="auto"/>
        <w:bottom w:val="none" w:sz="0" w:space="0" w:color="auto"/>
        <w:right w:val="none" w:sz="0" w:space="0" w:color="auto"/>
      </w:divBdr>
    </w:div>
    <w:div w:id="1542859581">
      <w:bodyDiv w:val="1"/>
      <w:marLeft w:val="0"/>
      <w:marRight w:val="0"/>
      <w:marTop w:val="0"/>
      <w:marBottom w:val="0"/>
      <w:divBdr>
        <w:top w:val="none" w:sz="0" w:space="0" w:color="auto"/>
        <w:left w:val="none" w:sz="0" w:space="0" w:color="auto"/>
        <w:bottom w:val="none" w:sz="0" w:space="0" w:color="auto"/>
        <w:right w:val="none" w:sz="0" w:space="0" w:color="auto"/>
      </w:divBdr>
    </w:div>
    <w:div w:id="1545829506">
      <w:bodyDiv w:val="1"/>
      <w:marLeft w:val="0"/>
      <w:marRight w:val="0"/>
      <w:marTop w:val="0"/>
      <w:marBottom w:val="0"/>
      <w:divBdr>
        <w:top w:val="none" w:sz="0" w:space="0" w:color="auto"/>
        <w:left w:val="none" w:sz="0" w:space="0" w:color="auto"/>
        <w:bottom w:val="none" w:sz="0" w:space="0" w:color="auto"/>
        <w:right w:val="none" w:sz="0" w:space="0" w:color="auto"/>
      </w:divBdr>
    </w:div>
    <w:div w:id="1568759768">
      <w:bodyDiv w:val="1"/>
      <w:marLeft w:val="0"/>
      <w:marRight w:val="0"/>
      <w:marTop w:val="0"/>
      <w:marBottom w:val="0"/>
      <w:divBdr>
        <w:top w:val="none" w:sz="0" w:space="0" w:color="auto"/>
        <w:left w:val="none" w:sz="0" w:space="0" w:color="auto"/>
        <w:bottom w:val="none" w:sz="0" w:space="0" w:color="auto"/>
        <w:right w:val="none" w:sz="0" w:space="0" w:color="auto"/>
      </w:divBdr>
    </w:div>
    <w:div w:id="1578831568">
      <w:bodyDiv w:val="1"/>
      <w:marLeft w:val="0"/>
      <w:marRight w:val="0"/>
      <w:marTop w:val="0"/>
      <w:marBottom w:val="0"/>
      <w:divBdr>
        <w:top w:val="none" w:sz="0" w:space="0" w:color="auto"/>
        <w:left w:val="none" w:sz="0" w:space="0" w:color="auto"/>
        <w:bottom w:val="none" w:sz="0" w:space="0" w:color="auto"/>
        <w:right w:val="none" w:sz="0" w:space="0" w:color="auto"/>
      </w:divBdr>
    </w:div>
    <w:div w:id="1591354276">
      <w:bodyDiv w:val="1"/>
      <w:marLeft w:val="0"/>
      <w:marRight w:val="0"/>
      <w:marTop w:val="0"/>
      <w:marBottom w:val="0"/>
      <w:divBdr>
        <w:top w:val="none" w:sz="0" w:space="0" w:color="auto"/>
        <w:left w:val="none" w:sz="0" w:space="0" w:color="auto"/>
        <w:bottom w:val="none" w:sz="0" w:space="0" w:color="auto"/>
        <w:right w:val="none" w:sz="0" w:space="0" w:color="auto"/>
      </w:divBdr>
    </w:div>
    <w:div w:id="1596595560">
      <w:bodyDiv w:val="1"/>
      <w:marLeft w:val="0"/>
      <w:marRight w:val="0"/>
      <w:marTop w:val="0"/>
      <w:marBottom w:val="0"/>
      <w:divBdr>
        <w:top w:val="none" w:sz="0" w:space="0" w:color="auto"/>
        <w:left w:val="none" w:sz="0" w:space="0" w:color="auto"/>
        <w:bottom w:val="none" w:sz="0" w:space="0" w:color="auto"/>
        <w:right w:val="none" w:sz="0" w:space="0" w:color="auto"/>
      </w:divBdr>
    </w:div>
    <w:div w:id="1600530298">
      <w:bodyDiv w:val="1"/>
      <w:marLeft w:val="0"/>
      <w:marRight w:val="0"/>
      <w:marTop w:val="0"/>
      <w:marBottom w:val="0"/>
      <w:divBdr>
        <w:top w:val="none" w:sz="0" w:space="0" w:color="auto"/>
        <w:left w:val="none" w:sz="0" w:space="0" w:color="auto"/>
        <w:bottom w:val="none" w:sz="0" w:space="0" w:color="auto"/>
        <w:right w:val="none" w:sz="0" w:space="0" w:color="auto"/>
      </w:divBdr>
    </w:div>
    <w:div w:id="1604460416">
      <w:bodyDiv w:val="1"/>
      <w:marLeft w:val="0"/>
      <w:marRight w:val="0"/>
      <w:marTop w:val="0"/>
      <w:marBottom w:val="0"/>
      <w:divBdr>
        <w:top w:val="none" w:sz="0" w:space="0" w:color="auto"/>
        <w:left w:val="none" w:sz="0" w:space="0" w:color="auto"/>
        <w:bottom w:val="none" w:sz="0" w:space="0" w:color="auto"/>
        <w:right w:val="none" w:sz="0" w:space="0" w:color="auto"/>
      </w:divBdr>
    </w:div>
    <w:div w:id="1606035495">
      <w:bodyDiv w:val="1"/>
      <w:marLeft w:val="0"/>
      <w:marRight w:val="0"/>
      <w:marTop w:val="0"/>
      <w:marBottom w:val="0"/>
      <w:divBdr>
        <w:top w:val="none" w:sz="0" w:space="0" w:color="auto"/>
        <w:left w:val="none" w:sz="0" w:space="0" w:color="auto"/>
        <w:bottom w:val="none" w:sz="0" w:space="0" w:color="auto"/>
        <w:right w:val="none" w:sz="0" w:space="0" w:color="auto"/>
      </w:divBdr>
    </w:div>
    <w:div w:id="1620650700">
      <w:bodyDiv w:val="1"/>
      <w:marLeft w:val="0"/>
      <w:marRight w:val="0"/>
      <w:marTop w:val="0"/>
      <w:marBottom w:val="0"/>
      <w:divBdr>
        <w:top w:val="none" w:sz="0" w:space="0" w:color="auto"/>
        <w:left w:val="none" w:sz="0" w:space="0" w:color="auto"/>
        <w:bottom w:val="none" w:sz="0" w:space="0" w:color="auto"/>
        <w:right w:val="none" w:sz="0" w:space="0" w:color="auto"/>
      </w:divBdr>
    </w:div>
    <w:div w:id="1621447426">
      <w:bodyDiv w:val="1"/>
      <w:marLeft w:val="0"/>
      <w:marRight w:val="0"/>
      <w:marTop w:val="0"/>
      <w:marBottom w:val="0"/>
      <w:divBdr>
        <w:top w:val="none" w:sz="0" w:space="0" w:color="auto"/>
        <w:left w:val="none" w:sz="0" w:space="0" w:color="auto"/>
        <w:bottom w:val="none" w:sz="0" w:space="0" w:color="auto"/>
        <w:right w:val="none" w:sz="0" w:space="0" w:color="auto"/>
      </w:divBdr>
    </w:div>
    <w:div w:id="1631595130">
      <w:bodyDiv w:val="1"/>
      <w:marLeft w:val="0"/>
      <w:marRight w:val="0"/>
      <w:marTop w:val="0"/>
      <w:marBottom w:val="0"/>
      <w:divBdr>
        <w:top w:val="none" w:sz="0" w:space="0" w:color="auto"/>
        <w:left w:val="none" w:sz="0" w:space="0" w:color="auto"/>
        <w:bottom w:val="none" w:sz="0" w:space="0" w:color="auto"/>
        <w:right w:val="none" w:sz="0" w:space="0" w:color="auto"/>
      </w:divBdr>
    </w:div>
    <w:div w:id="1640957888">
      <w:bodyDiv w:val="1"/>
      <w:marLeft w:val="0"/>
      <w:marRight w:val="0"/>
      <w:marTop w:val="0"/>
      <w:marBottom w:val="0"/>
      <w:divBdr>
        <w:top w:val="none" w:sz="0" w:space="0" w:color="auto"/>
        <w:left w:val="none" w:sz="0" w:space="0" w:color="auto"/>
        <w:bottom w:val="none" w:sz="0" w:space="0" w:color="auto"/>
        <w:right w:val="none" w:sz="0" w:space="0" w:color="auto"/>
      </w:divBdr>
    </w:div>
    <w:div w:id="1646276911">
      <w:bodyDiv w:val="1"/>
      <w:marLeft w:val="0"/>
      <w:marRight w:val="0"/>
      <w:marTop w:val="0"/>
      <w:marBottom w:val="0"/>
      <w:divBdr>
        <w:top w:val="none" w:sz="0" w:space="0" w:color="auto"/>
        <w:left w:val="none" w:sz="0" w:space="0" w:color="auto"/>
        <w:bottom w:val="none" w:sz="0" w:space="0" w:color="auto"/>
        <w:right w:val="none" w:sz="0" w:space="0" w:color="auto"/>
      </w:divBdr>
    </w:div>
    <w:div w:id="1670400444">
      <w:bodyDiv w:val="1"/>
      <w:marLeft w:val="0"/>
      <w:marRight w:val="0"/>
      <w:marTop w:val="0"/>
      <w:marBottom w:val="0"/>
      <w:divBdr>
        <w:top w:val="none" w:sz="0" w:space="0" w:color="auto"/>
        <w:left w:val="none" w:sz="0" w:space="0" w:color="auto"/>
        <w:bottom w:val="none" w:sz="0" w:space="0" w:color="auto"/>
        <w:right w:val="none" w:sz="0" w:space="0" w:color="auto"/>
      </w:divBdr>
    </w:div>
    <w:div w:id="1674991007">
      <w:bodyDiv w:val="1"/>
      <w:marLeft w:val="0"/>
      <w:marRight w:val="0"/>
      <w:marTop w:val="0"/>
      <w:marBottom w:val="0"/>
      <w:divBdr>
        <w:top w:val="none" w:sz="0" w:space="0" w:color="auto"/>
        <w:left w:val="none" w:sz="0" w:space="0" w:color="auto"/>
        <w:bottom w:val="none" w:sz="0" w:space="0" w:color="auto"/>
        <w:right w:val="none" w:sz="0" w:space="0" w:color="auto"/>
      </w:divBdr>
    </w:div>
    <w:div w:id="1679388355">
      <w:bodyDiv w:val="1"/>
      <w:marLeft w:val="0"/>
      <w:marRight w:val="0"/>
      <w:marTop w:val="0"/>
      <w:marBottom w:val="0"/>
      <w:divBdr>
        <w:top w:val="none" w:sz="0" w:space="0" w:color="auto"/>
        <w:left w:val="none" w:sz="0" w:space="0" w:color="auto"/>
        <w:bottom w:val="none" w:sz="0" w:space="0" w:color="auto"/>
        <w:right w:val="none" w:sz="0" w:space="0" w:color="auto"/>
      </w:divBdr>
    </w:div>
    <w:div w:id="1683898944">
      <w:bodyDiv w:val="1"/>
      <w:marLeft w:val="0"/>
      <w:marRight w:val="0"/>
      <w:marTop w:val="0"/>
      <w:marBottom w:val="0"/>
      <w:divBdr>
        <w:top w:val="none" w:sz="0" w:space="0" w:color="auto"/>
        <w:left w:val="none" w:sz="0" w:space="0" w:color="auto"/>
        <w:bottom w:val="none" w:sz="0" w:space="0" w:color="auto"/>
        <w:right w:val="none" w:sz="0" w:space="0" w:color="auto"/>
      </w:divBdr>
    </w:div>
    <w:div w:id="1687898857">
      <w:bodyDiv w:val="1"/>
      <w:marLeft w:val="0"/>
      <w:marRight w:val="0"/>
      <w:marTop w:val="0"/>
      <w:marBottom w:val="0"/>
      <w:divBdr>
        <w:top w:val="none" w:sz="0" w:space="0" w:color="auto"/>
        <w:left w:val="none" w:sz="0" w:space="0" w:color="auto"/>
        <w:bottom w:val="none" w:sz="0" w:space="0" w:color="auto"/>
        <w:right w:val="none" w:sz="0" w:space="0" w:color="auto"/>
      </w:divBdr>
    </w:div>
    <w:div w:id="1689141381">
      <w:bodyDiv w:val="1"/>
      <w:marLeft w:val="0"/>
      <w:marRight w:val="0"/>
      <w:marTop w:val="0"/>
      <w:marBottom w:val="0"/>
      <w:divBdr>
        <w:top w:val="none" w:sz="0" w:space="0" w:color="auto"/>
        <w:left w:val="none" w:sz="0" w:space="0" w:color="auto"/>
        <w:bottom w:val="none" w:sz="0" w:space="0" w:color="auto"/>
        <w:right w:val="none" w:sz="0" w:space="0" w:color="auto"/>
      </w:divBdr>
    </w:div>
    <w:div w:id="1689940986">
      <w:bodyDiv w:val="1"/>
      <w:marLeft w:val="0"/>
      <w:marRight w:val="0"/>
      <w:marTop w:val="0"/>
      <w:marBottom w:val="0"/>
      <w:divBdr>
        <w:top w:val="none" w:sz="0" w:space="0" w:color="auto"/>
        <w:left w:val="none" w:sz="0" w:space="0" w:color="auto"/>
        <w:bottom w:val="none" w:sz="0" w:space="0" w:color="auto"/>
        <w:right w:val="none" w:sz="0" w:space="0" w:color="auto"/>
      </w:divBdr>
    </w:div>
    <w:div w:id="1693997258">
      <w:bodyDiv w:val="1"/>
      <w:marLeft w:val="0"/>
      <w:marRight w:val="0"/>
      <w:marTop w:val="0"/>
      <w:marBottom w:val="0"/>
      <w:divBdr>
        <w:top w:val="none" w:sz="0" w:space="0" w:color="auto"/>
        <w:left w:val="none" w:sz="0" w:space="0" w:color="auto"/>
        <w:bottom w:val="none" w:sz="0" w:space="0" w:color="auto"/>
        <w:right w:val="none" w:sz="0" w:space="0" w:color="auto"/>
      </w:divBdr>
    </w:div>
    <w:div w:id="1697347480">
      <w:bodyDiv w:val="1"/>
      <w:marLeft w:val="0"/>
      <w:marRight w:val="0"/>
      <w:marTop w:val="0"/>
      <w:marBottom w:val="0"/>
      <w:divBdr>
        <w:top w:val="none" w:sz="0" w:space="0" w:color="auto"/>
        <w:left w:val="none" w:sz="0" w:space="0" w:color="auto"/>
        <w:bottom w:val="none" w:sz="0" w:space="0" w:color="auto"/>
        <w:right w:val="none" w:sz="0" w:space="0" w:color="auto"/>
      </w:divBdr>
    </w:div>
    <w:div w:id="1698309247">
      <w:bodyDiv w:val="1"/>
      <w:marLeft w:val="0"/>
      <w:marRight w:val="0"/>
      <w:marTop w:val="0"/>
      <w:marBottom w:val="0"/>
      <w:divBdr>
        <w:top w:val="none" w:sz="0" w:space="0" w:color="auto"/>
        <w:left w:val="none" w:sz="0" w:space="0" w:color="auto"/>
        <w:bottom w:val="none" w:sz="0" w:space="0" w:color="auto"/>
        <w:right w:val="none" w:sz="0" w:space="0" w:color="auto"/>
      </w:divBdr>
    </w:div>
    <w:div w:id="1704943027">
      <w:bodyDiv w:val="1"/>
      <w:marLeft w:val="0"/>
      <w:marRight w:val="0"/>
      <w:marTop w:val="0"/>
      <w:marBottom w:val="0"/>
      <w:divBdr>
        <w:top w:val="none" w:sz="0" w:space="0" w:color="auto"/>
        <w:left w:val="none" w:sz="0" w:space="0" w:color="auto"/>
        <w:bottom w:val="none" w:sz="0" w:space="0" w:color="auto"/>
        <w:right w:val="none" w:sz="0" w:space="0" w:color="auto"/>
      </w:divBdr>
    </w:div>
    <w:div w:id="1713385118">
      <w:bodyDiv w:val="1"/>
      <w:marLeft w:val="0"/>
      <w:marRight w:val="0"/>
      <w:marTop w:val="0"/>
      <w:marBottom w:val="0"/>
      <w:divBdr>
        <w:top w:val="none" w:sz="0" w:space="0" w:color="auto"/>
        <w:left w:val="none" w:sz="0" w:space="0" w:color="auto"/>
        <w:bottom w:val="none" w:sz="0" w:space="0" w:color="auto"/>
        <w:right w:val="none" w:sz="0" w:space="0" w:color="auto"/>
      </w:divBdr>
    </w:div>
    <w:div w:id="1715541817">
      <w:bodyDiv w:val="1"/>
      <w:marLeft w:val="0"/>
      <w:marRight w:val="0"/>
      <w:marTop w:val="0"/>
      <w:marBottom w:val="0"/>
      <w:divBdr>
        <w:top w:val="none" w:sz="0" w:space="0" w:color="auto"/>
        <w:left w:val="none" w:sz="0" w:space="0" w:color="auto"/>
        <w:bottom w:val="none" w:sz="0" w:space="0" w:color="auto"/>
        <w:right w:val="none" w:sz="0" w:space="0" w:color="auto"/>
      </w:divBdr>
    </w:div>
    <w:div w:id="1715881430">
      <w:bodyDiv w:val="1"/>
      <w:marLeft w:val="0"/>
      <w:marRight w:val="0"/>
      <w:marTop w:val="0"/>
      <w:marBottom w:val="0"/>
      <w:divBdr>
        <w:top w:val="none" w:sz="0" w:space="0" w:color="auto"/>
        <w:left w:val="none" w:sz="0" w:space="0" w:color="auto"/>
        <w:bottom w:val="none" w:sz="0" w:space="0" w:color="auto"/>
        <w:right w:val="none" w:sz="0" w:space="0" w:color="auto"/>
      </w:divBdr>
    </w:div>
    <w:div w:id="1716999782">
      <w:bodyDiv w:val="1"/>
      <w:marLeft w:val="0"/>
      <w:marRight w:val="0"/>
      <w:marTop w:val="0"/>
      <w:marBottom w:val="0"/>
      <w:divBdr>
        <w:top w:val="none" w:sz="0" w:space="0" w:color="auto"/>
        <w:left w:val="none" w:sz="0" w:space="0" w:color="auto"/>
        <w:bottom w:val="none" w:sz="0" w:space="0" w:color="auto"/>
        <w:right w:val="none" w:sz="0" w:space="0" w:color="auto"/>
      </w:divBdr>
    </w:div>
    <w:div w:id="1717311172">
      <w:bodyDiv w:val="1"/>
      <w:marLeft w:val="0"/>
      <w:marRight w:val="0"/>
      <w:marTop w:val="0"/>
      <w:marBottom w:val="0"/>
      <w:divBdr>
        <w:top w:val="none" w:sz="0" w:space="0" w:color="auto"/>
        <w:left w:val="none" w:sz="0" w:space="0" w:color="auto"/>
        <w:bottom w:val="none" w:sz="0" w:space="0" w:color="auto"/>
        <w:right w:val="none" w:sz="0" w:space="0" w:color="auto"/>
      </w:divBdr>
    </w:div>
    <w:div w:id="1717506354">
      <w:bodyDiv w:val="1"/>
      <w:marLeft w:val="0"/>
      <w:marRight w:val="0"/>
      <w:marTop w:val="0"/>
      <w:marBottom w:val="0"/>
      <w:divBdr>
        <w:top w:val="none" w:sz="0" w:space="0" w:color="auto"/>
        <w:left w:val="none" w:sz="0" w:space="0" w:color="auto"/>
        <w:bottom w:val="none" w:sz="0" w:space="0" w:color="auto"/>
        <w:right w:val="none" w:sz="0" w:space="0" w:color="auto"/>
      </w:divBdr>
    </w:div>
    <w:div w:id="1740327206">
      <w:bodyDiv w:val="1"/>
      <w:marLeft w:val="0"/>
      <w:marRight w:val="0"/>
      <w:marTop w:val="0"/>
      <w:marBottom w:val="0"/>
      <w:divBdr>
        <w:top w:val="none" w:sz="0" w:space="0" w:color="auto"/>
        <w:left w:val="none" w:sz="0" w:space="0" w:color="auto"/>
        <w:bottom w:val="none" w:sz="0" w:space="0" w:color="auto"/>
        <w:right w:val="none" w:sz="0" w:space="0" w:color="auto"/>
      </w:divBdr>
    </w:div>
    <w:div w:id="1742370171">
      <w:bodyDiv w:val="1"/>
      <w:marLeft w:val="0"/>
      <w:marRight w:val="0"/>
      <w:marTop w:val="0"/>
      <w:marBottom w:val="0"/>
      <w:divBdr>
        <w:top w:val="none" w:sz="0" w:space="0" w:color="auto"/>
        <w:left w:val="none" w:sz="0" w:space="0" w:color="auto"/>
        <w:bottom w:val="none" w:sz="0" w:space="0" w:color="auto"/>
        <w:right w:val="none" w:sz="0" w:space="0" w:color="auto"/>
      </w:divBdr>
    </w:div>
    <w:div w:id="1769815185">
      <w:bodyDiv w:val="1"/>
      <w:marLeft w:val="0"/>
      <w:marRight w:val="0"/>
      <w:marTop w:val="0"/>
      <w:marBottom w:val="0"/>
      <w:divBdr>
        <w:top w:val="none" w:sz="0" w:space="0" w:color="auto"/>
        <w:left w:val="none" w:sz="0" w:space="0" w:color="auto"/>
        <w:bottom w:val="none" w:sz="0" w:space="0" w:color="auto"/>
        <w:right w:val="none" w:sz="0" w:space="0" w:color="auto"/>
      </w:divBdr>
    </w:div>
    <w:div w:id="1779715827">
      <w:bodyDiv w:val="1"/>
      <w:marLeft w:val="0"/>
      <w:marRight w:val="0"/>
      <w:marTop w:val="0"/>
      <w:marBottom w:val="0"/>
      <w:divBdr>
        <w:top w:val="none" w:sz="0" w:space="0" w:color="auto"/>
        <w:left w:val="none" w:sz="0" w:space="0" w:color="auto"/>
        <w:bottom w:val="none" w:sz="0" w:space="0" w:color="auto"/>
        <w:right w:val="none" w:sz="0" w:space="0" w:color="auto"/>
      </w:divBdr>
    </w:div>
    <w:div w:id="1806311768">
      <w:bodyDiv w:val="1"/>
      <w:marLeft w:val="0"/>
      <w:marRight w:val="0"/>
      <w:marTop w:val="0"/>
      <w:marBottom w:val="0"/>
      <w:divBdr>
        <w:top w:val="none" w:sz="0" w:space="0" w:color="auto"/>
        <w:left w:val="none" w:sz="0" w:space="0" w:color="auto"/>
        <w:bottom w:val="none" w:sz="0" w:space="0" w:color="auto"/>
        <w:right w:val="none" w:sz="0" w:space="0" w:color="auto"/>
      </w:divBdr>
    </w:div>
    <w:div w:id="1837064617">
      <w:bodyDiv w:val="1"/>
      <w:marLeft w:val="0"/>
      <w:marRight w:val="0"/>
      <w:marTop w:val="0"/>
      <w:marBottom w:val="0"/>
      <w:divBdr>
        <w:top w:val="none" w:sz="0" w:space="0" w:color="auto"/>
        <w:left w:val="none" w:sz="0" w:space="0" w:color="auto"/>
        <w:bottom w:val="none" w:sz="0" w:space="0" w:color="auto"/>
        <w:right w:val="none" w:sz="0" w:space="0" w:color="auto"/>
      </w:divBdr>
    </w:div>
    <w:div w:id="1840997758">
      <w:bodyDiv w:val="1"/>
      <w:marLeft w:val="0"/>
      <w:marRight w:val="0"/>
      <w:marTop w:val="0"/>
      <w:marBottom w:val="0"/>
      <w:divBdr>
        <w:top w:val="none" w:sz="0" w:space="0" w:color="auto"/>
        <w:left w:val="none" w:sz="0" w:space="0" w:color="auto"/>
        <w:bottom w:val="none" w:sz="0" w:space="0" w:color="auto"/>
        <w:right w:val="none" w:sz="0" w:space="0" w:color="auto"/>
      </w:divBdr>
    </w:div>
    <w:div w:id="1848858648">
      <w:bodyDiv w:val="1"/>
      <w:marLeft w:val="0"/>
      <w:marRight w:val="0"/>
      <w:marTop w:val="0"/>
      <w:marBottom w:val="0"/>
      <w:divBdr>
        <w:top w:val="none" w:sz="0" w:space="0" w:color="auto"/>
        <w:left w:val="none" w:sz="0" w:space="0" w:color="auto"/>
        <w:bottom w:val="none" w:sz="0" w:space="0" w:color="auto"/>
        <w:right w:val="none" w:sz="0" w:space="0" w:color="auto"/>
      </w:divBdr>
    </w:div>
    <w:div w:id="1850170741">
      <w:bodyDiv w:val="1"/>
      <w:marLeft w:val="0"/>
      <w:marRight w:val="0"/>
      <w:marTop w:val="0"/>
      <w:marBottom w:val="0"/>
      <w:divBdr>
        <w:top w:val="none" w:sz="0" w:space="0" w:color="auto"/>
        <w:left w:val="none" w:sz="0" w:space="0" w:color="auto"/>
        <w:bottom w:val="none" w:sz="0" w:space="0" w:color="auto"/>
        <w:right w:val="none" w:sz="0" w:space="0" w:color="auto"/>
      </w:divBdr>
    </w:div>
    <w:div w:id="1859000879">
      <w:bodyDiv w:val="1"/>
      <w:marLeft w:val="0"/>
      <w:marRight w:val="0"/>
      <w:marTop w:val="0"/>
      <w:marBottom w:val="0"/>
      <w:divBdr>
        <w:top w:val="none" w:sz="0" w:space="0" w:color="auto"/>
        <w:left w:val="none" w:sz="0" w:space="0" w:color="auto"/>
        <w:bottom w:val="none" w:sz="0" w:space="0" w:color="auto"/>
        <w:right w:val="none" w:sz="0" w:space="0" w:color="auto"/>
      </w:divBdr>
    </w:div>
    <w:div w:id="1865556805">
      <w:bodyDiv w:val="1"/>
      <w:marLeft w:val="0"/>
      <w:marRight w:val="0"/>
      <w:marTop w:val="0"/>
      <w:marBottom w:val="0"/>
      <w:divBdr>
        <w:top w:val="none" w:sz="0" w:space="0" w:color="auto"/>
        <w:left w:val="none" w:sz="0" w:space="0" w:color="auto"/>
        <w:bottom w:val="none" w:sz="0" w:space="0" w:color="auto"/>
        <w:right w:val="none" w:sz="0" w:space="0" w:color="auto"/>
      </w:divBdr>
    </w:div>
    <w:div w:id="1873612013">
      <w:bodyDiv w:val="1"/>
      <w:marLeft w:val="0"/>
      <w:marRight w:val="0"/>
      <w:marTop w:val="0"/>
      <w:marBottom w:val="0"/>
      <w:divBdr>
        <w:top w:val="none" w:sz="0" w:space="0" w:color="auto"/>
        <w:left w:val="none" w:sz="0" w:space="0" w:color="auto"/>
        <w:bottom w:val="none" w:sz="0" w:space="0" w:color="auto"/>
        <w:right w:val="none" w:sz="0" w:space="0" w:color="auto"/>
      </w:divBdr>
    </w:div>
    <w:div w:id="1876040900">
      <w:bodyDiv w:val="1"/>
      <w:marLeft w:val="0"/>
      <w:marRight w:val="0"/>
      <w:marTop w:val="0"/>
      <w:marBottom w:val="0"/>
      <w:divBdr>
        <w:top w:val="none" w:sz="0" w:space="0" w:color="auto"/>
        <w:left w:val="none" w:sz="0" w:space="0" w:color="auto"/>
        <w:bottom w:val="none" w:sz="0" w:space="0" w:color="auto"/>
        <w:right w:val="none" w:sz="0" w:space="0" w:color="auto"/>
      </w:divBdr>
    </w:div>
    <w:div w:id="1877036969">
      <w:bodyDiv w:val="1"/>
      <w:marLeft w:val="0"/>
      <w:marRight w:val="0"/>
      <w:marTop w:val="0"/>
      <w:marBottom w:val="0"/>
      <w:divBdr>
        <w:top w:val="none" w:sz="0" w:space="0" w:color="auto"/>
        <w:left w:val="none" w:sz="0" w:space="0" w:color="auto"/>
        <w:bottom w:val="none" w:sz="0" w:space="0" w:color="auto"/>
        <w:right w:val="none" w:sz="0" w:space="0" w:color="auto"/>
      </w:divBdr>
    </w:div>
    <w:div w:id="1885360782">
      <w:bodyDiv w:val="1"/>
      <w:marLeft w:val="0"/>
      <w:marRight w:val="0"/>
      <w:marTop w:val="0"/>
      <w:marBottom w:val="0"/>
      <w:divBdr>
        <w:top w:val="none" w:sz="0" w:space="0" w:color="auto"/>
        <w:left w:val="none" w:sz="0" w:space="0" w:color="auto"/>
        <w:bottom w:val="none" w:sz="0" w:space="0" w:color="auto"/>
        <w:right w:val="none" w:sz="0" w:space="0" w:color="auto"/>
      </w:divBdr>
    </w:div>
    <w:div w:id="1888369506">
      <w:bodyDiv w:val="1"/>
      <w:marLeft w:val="0"/>
      <w:marRight w:val="0"/>
      <w:marTop w:val="0"/>
      <w:marBottom w:val="0"/>
      <w:divBdr>
        <w:top w:val="none" w:sz="0" w:space="0" w:color="auto"/>
        <w:left w:val="none" w:sz="0" w:space="0" w:color="auto"/>
        <w:bottom w:val="none" w:sz="0" w:space="0" w:color="auto"/>
        <w:right w:val="none" w:sz="0" w:space="0" w:color="auto"/>
      </w:divBdr>
    </w:div>
    <w:div w:id="1900361987">
      <w:bodyDiv w:val="1"/>
      <w:marLeft w:val="0"/>
      <w:marRight w:val="0"/>
      <w:marTop w:val="0"/>
      <w:marBottom w:val="0"/>
      <w:divBdr>
        <w:top w:val="none" w:sz="0" w:space="0" w:color="auto"/>
        <w:left w:val="none" w:sz="0" w:space="0" w:color="auto"/>
        <w:bottom w:val="none" w:sz="0" w:space="0" w:color="auto"/>
        <w:right w:val="none" w:sz="0" w:space="0" w:color="auto"/>
      </w:divBdr>
    </w:div>
    <w:div w:id="1906449299">
      <w:bodyDiv w:val="1"/>
      <w:marLeft w:val="0"/>
      <w:marRight w:val="0"/>
      <w:marTop w:val="0"/>
      <w:marBottom w:val="0"/>
      <w:divBdr>
        <w:top w:val="none" w:sz="0" w:space="0" w:color="auto"/>
        <w:left w:val="none" w:sz="0" w:space="0" w:color="auto"/>
        <w:bottom w:val="none" w:sz="0" w:space="0" w:color="auto"/>
        <w:right w:val="none" w:sz="0" w:space="0" w:color="auto"/>
      </w:divBdr>
    </w:div>
    <w:div w:id="1908301628">
      <w:bodyDiv w:val="1"/>
      <w:marLeft w:val="0"/>
      <w:marRight w:val="0"/>
      <w:marTop w:val="0"/>
      <w:marBottom w:val="0"/>
      <w:divBdr>
        <w:top w:val="none" w:sz="0" w:space="0" w:color="auto"/>
        <w:left w:val="none" w:sz="0" w:space="0" w:color="auto"/>
        <w:bottom w:val="none" w:sz="0" w:space="0" w:color="auto"/>
        <w:right w:val="none" w:sz="0" w:space="0" w:color="auto"/>
      </w:divBdr>
    </w:div>
    <w:div w:id="1911622906">
      <w:bodyDiv w:val="1"/>
      <w:marLeft w:val="0"/>
      <w:marRight w:val="0"/>
      <w:marTop w:val="0"/>
      <w:marBottom w:val="0"/>
      <w:divBdr>
        <w:top w:val="none" w:sz="0" w:space="0" w:color="auto"/>
        <w:left w:val="none" w:sz="0" w:space="0" w:color="auto"/>
        <w:bottom w:val="none" w:sz="0" w:space="0" w:color="auto"/>
        <w:right w:val="none" w:sz="0" w:space="0" w:color="auto"/>
      </w:divBdr>
    </w:div>
    <w:div w:id="1920871712">
      <w:bodyDiv w:val="1"/>
      <w:marLeft w:val="0"/>
      <w:marRight w:val="0"/>
      <w:marTop w:val="0"/>
      <w:marBottom w:val="0"/>
      <w:divBdr>
        <w:top w:val="none" w:sz="0" w:space="0" w:color="auto"/>
        <w:left w:val="none" w:sz="0" w:space="0" w:color="auto"/>
        <w:bottom w:val="none" w:sz="0" w:space="0" w:color="auto"/>
        <w:right w:val="none" w:sz="0" w:space="0" w:color="auto"/>
      </w:divBdr>
    </w:div>
    <w:div w:id="1924489593">
      <w:bodyDiv w:val="1"/>
      <w:marLeft w:val="0"/>
      <w:marRight w:val="0"/>
      <w:marTop w:val="0"/>
      <w:marBottom w:val="0"/>
      <w:divBdr>
        <w:top w:val="none" w:sz="0" w:space="0" w:color="auto"/>
        <w:left w:val="none" w:sz="0" w:space="0" w:color="auto"/>
        <w:bottom w:val="none" w:sz="0" w:space="0" w:color="auto"/>
        <w:right w:val="none" w:sz="0" w:space="0" w:color="auto"/>
      </w:divBdr>
    </w:div>
    <w:div w:id="1931430048">
      <w:bodyDiv w:val="1"/>
      <w:marLeft w:val="0"/>
      <w:marRight w:val="0"/>
      <w:marTop w:val="0"/>
      <w:marBottom w:val="0"/>
      <w:divBdr>
        <w:top w:val="none" w:sz="0" w:space="0" w:color="auto"/>
        <w:left w:val="none" w:sz="0" w:space="0" w:color="auto"/>
        <w:bottom w:val="none" w:sz="0" w:space="0" w:color="auto"/>
        <w:right w:val="none" w:sz="0" w:space="0" w:color="auto"/>
      </w:divBdr>
    </w:div>
    <w:div w:id="1934437838">
      <w:bodyDiv w:val="1"/>
      <w:marLeft w:val="0"/>
      <w:marRight w:val="0"/>
      <w:marTop w:val="0"/>
      <w:marBottom w:val="0"/>
      <w:divBdr>
        <w:top w:val="none" w:sz="0" w:space="0" w:color="auto"/>
        <w:left w:val="none" w:sz="0" w:space="0" w:color="auto"/>
        <w:bottom w:val="none" w:sz="0" w:space="0" w:color="auto"/>
        <w:right w:val="none" w:sz="0" w:space="0" w:color="auto"/>
      </w:divBdr>
    </w:div>
    <w:div w:id="1935673811">
      <w:bodyDiv w:val="1"/>
      <w:marLeft w:val="0"/>
      <w:marRight w:val="0"/>
      <w:marTop w:val="0"/>
      <w:marBottom w:val="0"/>
      <w:divBdr>
        <w:top w:val="none" w:sz="0" w:space="0" w:color="auto"/>
        <w:left w:val="none" w:sz="0" w:space="0" w:color="auto"/>
        <w:bottom w:val="none" w:sz="0" w:space="0" w:color="auto"/>
        <w:right w:val="none" w:sz="0" w:space="0" w:color="auto"/>
      </w:divBdr>
    </w:div>
    <w:div w:id="1947538782">
      <w:bodyDiv w:val="1"/>
      <w:marLeft w:val="0"/>
      <w:marRight w:val="0"/>
      <w:marTop w:val="0"/>
      <w:marBottom w:val="0"/>
      <w:divBdr>
        <w:top w:val="none" w:sz="0" w:space="0" w:color="auto"/>
        <w:left w:val="none" w:sz="0" w:space="0" w:color="auto"/>
        <w:bottom w:val="none" w:sz="0" w:space="0" w:color="auto"/>
        <w:right w:val="none" w:sz="0" w:space="0" w:color="auto"/>
      </w:divBdr>
    </w:div>
    <w:div w:id="1961767158">
      <w:bodyDiv w:val="1"/>
      <w:marLeft w:val="0"/>
      <w:marRight w:val="0"/>
      <w:marTop w:val="0"/>
      <w:marBottom w:val="0"/>
      <w:divBdr>
        <w:top w:val="none" w:sz="0" w:space="0" w:color="auto"/>
        <w:left w:val="none" w:sz="0" w:space="0" w:color="auto"/>
        <w:bottom w:val="none" w:sz="0" w:space="0" w:color="auto"/>
        <w:right w:val="none" w:sz="0" w:space="0" w:color="auto"/>
      </w:divBdr>
    </w:div>
    <w:div w:id="1972318259">
      <w:bodyDiv w:val="1"/>
      <w:marLeft w:val="0"/>
      <w:marRight w:val="0"/>
      <w:marTop w:val="0"/>
      <w:marBottom w:val="0"/>
      <w:divBdr>
        <w:top w:val="none" w:sz="0" w:space="0" w:color="auto"/>
        <w:left w:val="none" w:sz="0" w:space="0" w:color="auto"/>
        <w:bottom w:val="none" w:sz="0" w:space="0" w:color="auto"/>
        <w:right w:val="none" w:sz="0" w:space="0" w:color="auto"/>
      </w:divBdr>
    </w:div>
    <w:div w:id="1974366720">
      <w:bodyDiv w:val="1"/>
      <w:marLeft w:val="0"/>
      <w:marRight w:val="0"/>
      <w:marTop w:val="0"/>
      <w:marBottom w:val="0"/>
      <w:divBdr>
        <w:top w:val="none" w:sz="0" w:space="0" w:color="auto"/>
        <w:left w:val="none" w:sz="0" w:space="0" w:color="auto"/>
        <w:bottom w:val="none" w:sz="0" w:space="0" w:color="auto"/>
        <w:right w:val="none" w:sz="0" w:space="0" w:color="auto"/>
      </w:divBdr>
    </w:div>
    <w:div w:id="1978760146">
      <w:bodyDiv w:val="1"/>
      <w:marLeft w:val="0"/>
      <w:marRight w:val="0"/>
      <w:marTop w:val="0"/>
      <w:marBottom w:val="0"/>
      <w:divBdr>
        <w:top w:val="none" w:sz="0" w:space="0" w:color="auto"/>
        <w:left w:val="none" w:sz="0" w:space="0" w:color="auto"/>
        <w:bottom w:val="none" w:sz="0" w:space="0" w:color="auto"/>
        <w:right w:val="none" w:sz="0" w:space="0" w:color="auto"/>
      </w:divBdr>
    </w:div>
    <w:div w:id="1992322596">
      <w:bodyDiv w:val="1"/>
      <w:marLeft w:val="0"/>
      <w:marRight w:val="0"/>
      <w:marTop w:val="0"/>
      <w:marBottom w:val="0"/>
      <w:divBdr>
        <w:top w:val="none" w:sz="0" w:space="0" w:color="auto"/>
        <w:left w:val="none" w:sz="0" w:space="0" w:color="auto"/>
        <w:bottom w:val="none" w:sz="0" w:space="0" w:color="auto"/>
        <w:right w:val="none" w:sz="0" w:space="0" w:color="auto"/>
      </w:divBdr>
    </w:div>
    <w:div w:id="1996956505">
      <w:bodyDiv w:val="1"/>
      <w:marLeft w:val="0"/>
      <w:marRight w:val="0"/>
      <w:marTop w:val="0"/>
      <w:marBottom w:val="0"/>
      <w:divBdr>
        <w:top w:val="none" w:sz="0" w:space="0" w:color="auto"/>
        <w:left w:val="none" w:sz="0" w:space="0" w:color="auto"/>
        <w:bottom w:val="none" w:sz="0" w:space="0" w:color="auto"/>
        <w:right w:val="none" w:sz="0" w:space="0" w:color="auto"/>
      </w:divBdr>
    </w:div>
    <w:div w:id="2002346687">
      <w:bodyDiv w:val="1"/>
      <w:marLeft w:val="0"/>
      <w:marRight w:val="0"/>
      <w:marTop w:val="0"/>
      <w:marBottom w:val="0"/>
      <w:divBdr>
        <w:top w:val="none" w:sz="0" w:space="0" w:color="auto"/>
        <w:left w:val="none" w:sz="0" w:space="0" w:color="auto"/>
        <w:bottom w:val="none" w:sz="0" w:space="0" w:color="auto"/>
        <w:right w:val="none" w:sz="0" w:space="0" w:color="auto"/>
      </w:divBdr>
    </w:div>
    <w:div w:id="2011173423">
      <w:bodyDiv w:val="1"/>
      <w:marLeft w:val="0"/>
      <w:marRight w:val="0"/>
      <w:marTop w:val="0"/>
      <w:marBottom w:val="0"/>
      <w:divBdr>
        <w:top w:val="none" w:sz="0" w:space="0" w:color="auto"/>
        <w:left w:val="none" w:sz="0" w:space="0" w:color="auto"/>
        <w:bottom w:val="none" w:sz="0" w:space="0" w:color="auto"/>
        <w:right w:val="none" w:sz="0" w:space="0" w:color="auto"/>
      </w:divBdr>
    </w:div>
    <w:div w:id="2014449834">
      <w:bodyDiv w:val="1"/>
      <w:marLeft w:val="0"/>
      <w:marRight w:val="0"/>
      <w:marTop w:val="0"/>
      <w:marBottom w:val="0"/>
      <w:divBdr>
        <w:top w:val="none" w:sz="0" w:space="0" w:color="auto"/>
        <w:left w:val="none" w:sz="0" w:space="0" w:color="auto"/>
        <w:bottom w:val="none" w:sz="0" w:space="0" w:color="auto"/>
        <w:right w:val="none" w:sz="0" w:space="0" w:color="auto"/>
      </w:divBdr>
    </w:div>
    <w:div w:id="2031443800">
      <w:bodyDiv w:val="1"/>
      <w:marLeft w:val="0"/>
      <w:marRight w:val="0"/>
      <w:marTop w:val="0"/>
      <w:marBottom w:val="0"/>
      <w:divBdr>
        <w:top w:val="none" w:sz="0" w:space="0" w:color="auto"/>
        <w:left w:val="none" w:sz="0" w:space="0" w:color="auto"/>
        <w:bottom w:val="none" w:sz="0" w:space="0" w:color="auto"/>
        <w:right w:val="none" w:sz="0" w:space="0" w:color="auto"/>
      </w:divBdr>
    </w:div>
    <w:div w:id="2052463226">
      <w:bodyDiv w:val="1"/>
      <w:marLeft w:val="0"/>
      <w:marRight w:val="0"/>
      <w:marTop w:val="0"/>
      <w:marBottom w:val="0"/>
      <w:divBdr>
        <w:top w:val="none" w:sz="0" w:space="0" w:color="auto"/>
        <w:left w:val="none" w:sz="0" w:space="0" w:color="auto"/>
        <w:bottom w:val="none" w:sz="0" w:space="0" w:color="auto"/>
        <w:right w:val="none" w:sz="0" w:space="0" w:color="auto"/>
      </w:divBdr>
    </w:div>
    <w:div w:id="2055151193">
      <w:bodyDiv w:val="1"/>
      <w:marLeft w:val="0"/>
      <w:marRight w:val="0"/>
      <w:marTop w:val="0"/>
      <w:marBottom w:val="0"/>
      <w:divBdr>
        <w:top w:val="none" w:sz="0" w:space="0" w:color="auto"/>
        <w:left w:val="none" w:sz="0" w:space="0" w:color="auto"/>
        <w:bottom w:val="none" w:sz="0" w:space="0" w:color="auto"/>
        <w:right w:val="none" w:sz="0" w:space="0" w:color="auto"/>
      </w:divBdr>
    </w:div>
    <w:div w:id="2060012675">
      <w:bodyDiv w:val="1"/>
      <w:marLeft w:val="0"/>
      <w:marRight w:val="0"/>
      <w:marTop w:val="0"/>
      <w:marBottom w:val="0"/>
      <w:divBdr>
        <w:top w:val="none" w:sz="0" w:space="0" w:color="auto"/>
        <w:left w:val="none" w:sz="0" w:space="0" w:color="auto"/>
        <w:bottom w:val="none" w:sz="0" w:space="0" w:color="auto"/>
        <w:right w:val="none" w:sz="0" w:space="0" w:color="auto"/>
      </w:divBdr>
    </w:div>
    <w:div w:id="2071994436">
      <w:bodyDiv w:val="1"/>
      <w:marLeft w:val="0"/>
      <w:marRight w:val="0"/>
      <w:marTop w:val="0"/>
      <w:marBottom w:val="0"/>
      <w:divBdr>
        <w:top w:val="none" w:sz="0" w:space="0" w:color="auto"/>
        <w:left w:val="none" w:sz="0" w:space="0" w:color="auto"/>
        <w:bottom w:val="none" w:sz="0" w:space="0" w:color="auto"/>
        <w:right w:val="none" w:sz="0" w:space="0" w:color="auto"/>
      </w:divBdr>
    </w:div>
    <w:div w:id="2075932447">
      <w:bodyDiv w:val="1"/>
      <w:marLeft w:val="0"/>
      <w:marRight w:val="0"/>
      <w:marTop w:val="0"/>
      <w:marBottom w:val="0"/>
      <w:divBdr>
        <w:top w:val="none" w:sz="0" w:space="0" w:color="auto"/>
        <w:left w:val="none" w:sz="0" w:space="0" w:color="auto"/>
        <w:bottom w:val="none" w:sz="0" w:space="0" w:color="auto"/>
        <w:right w:val="none" w:sz="0" w:space="0" w:color="auto"/>
      </w:divBdr>
    </w:div>
    <w:div w:id="2076005894">
      <w:bodyDiv w:val="1"/>
      <w:marLeft w:val="0"/>
      <w:marRight w:val="0"/>
      <w:marTop w:val="0"/>
      <w:marBottom w:val="0"/>
      <w:divBdr>
        <w:top w:val="none" w:sz="0" w:space="0" w:color="auto"/>
        <w:left w:val="none" w:sz="0" w:space="0" w:color="auto"/>
        <w:bottom w:val="none" w:sz="0" w:space="0" w:color="auto"/>
        <w:right w:val="none" w:sz="0" w:space="0" w:color="auto"/>
      </w:divBdr>
    </w:div>
    <w:div w:id="2097238083">
      <w:bodyDiv w:val="1"/>
      <w:marLeft w:val="0"/>
      <w:marRight w:val="0"/>
      <w:marTop w:val="0"/>
      <w:marBottom w:val="0"/>
      <w:divBdr>
        <w:top w:val="none" w:sz="0" w:space="0" w:color="auto"/>
        <w:left w:val="none" w:sz="0" w:space="0" w:color="auto"/>
        <w:bottom w:val="none" w:sz="0" w:space="0" w:color="auto"/>
        <w:right w:val="none" w:sz="0" w:space="0" w:color="auto"/>
      </w:divBdr>
    </w:div>
    <w:div w:id="2100563739">
      <w:bodyDiv w:val="1"/>
      <w:marLeft w:val="0"/>
      <w:marRight w:val="0"/>
      <w:marTop w:val="0"/>
      <w:marBottom w:val="0"/>
      <w:divBdr>
        <w:top w:val="none" w:sz="0" w:space="0" w:color="auto"/>
        <w:left w:val="none" w:sz="0" w:space="0" w:color="auto"/>
        <w:bottom w:val="none" w:sz="0" w:space="0" w:color="auto"/>
        <w:right w:val="none" w:sz="0" w:space="0" w:color="auto"/>
      </w:divBdr>
    </w:div>
    <w:div w:id="210908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URAD\NS1\ODBORY\Odbor47\Odd4703\03_Projekty\2_Centr&#225;ln&#237;%20n&#225;kup%20MF_syst&#233;m\2_1_Z&#225;kladn&#237;%20komoditn&#237;%20anal&#253;za\1_Data%20a%20podklady\Komoditni-analyza_2013_v6_MART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RAD\NS1\ODBORY\Odbor47\Odd4703\03_Projekty\2_Centr&#225;ln&#237;%20n&#225;kup%20MF_syst&#233;m\2_1_Z&#225;kladn&#237;%20komoditn&#237;%20anal&#253;za\1_Data%20a%20podklady\Komoditni-analyza_2013_v4_MART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107382550335569"/>
          <c:y val="6.8376068376068383E-2"/>
          <c:w val="0.67785234899328861"/>
          <c:h val="0.86324786324786329"/>
        </c:manualLayout>
      </c:layout>
      <c:pieChart>
        <c:varyColors val="1"/>
        <c:ser>
          <c:idx val="0"/>
          <c:order val="0"/>
          <c:spPr>
            <a:ln w="12700">
              <a:solidFill>
                <a:schemeClr val="bg1"/>
              </a:solidFill>
            </a:ln>
          </c:spPr>
          <c:explosion val="19"/>
          <c:dPt>
            <c:idx val="0"/>
            <c:bubble3D val="0"/>
            <c:spPr>
              <a:solidFill>
                <a:schemeClr val="accent2"/>
              </a:solidFill>
              <a:ln w="12700">
                <a:solidFill>
                  <a:schemeClr val="bg1"/>
                </a:solidFill>
              </a:ln>
            </c:spPr>
          </c:dPt>
          <c:dPt>
            <c:idx val="1"/>
            <c:bubble3D val="0"/>
            <c:spPr>
              <a:solidFill>
                <a:schemeClr val="accent2">
                  <a:lumMod val="40000"/>
                  <a:lumOff val="60000"/>
                </a:schemeClr>
              </a:solidFill>
              <a:ln w="12700">
                <a:solidFill>
                  <a:schemeClr val="bg1"/>
                </a:solidFill>
              </a:ln>
            </c:spPr>
          </c:dPt>
          <c:dPt>
            <c:idx val="2"/>
            <c:bubble3D val="0"/>
            <c:spPr>
              <a:solidFill>
                <a:schemeClr val="bg1">
                  <a:lumMod val="65000"/>
                </a:schemeClr>
              </a:solidFill>
              <a:ln w="12700">
                <a:solidFill>
                  <a:schemeClr val="bg1"/>
                </a:solidFill>
              </a:ln>
            </c:spPr>
          </c:dPt>
          <c:dPt>
            <c:idx val="3"/>
            <c:bubble3D val="0"/>
            <c:spPr>
              <a:solidFill>
                <a:schemeClr val="bg1">
                  <a:lumMod val="75000"/>
                </a:schemeClr>
              </a:solidFill>
              <a:ln w="12700">
                <a:solidFill>
                  <a:schemeClr val="bg1"/>
                </a:solidFill>
              </a:ln>
            </c:spPr>
          </c:dPt>
          <c:dPt>
            <c:idx val="4"/>
            <c:bubble3D val="0"/>
            <c:spPr>
              <a:solidFill>
                <a:schemeClr val="bg1">
                  <a:lumMod val="85000"/>
                </a:schemeClr>
              </a:solidFill>
              <a:ln w="12700">
                <a:solidFill>
                  <a:schemeClr val="bg1"/>
                </a:solidFill>
              </a:ln>
            </c:spPr>
          </c:dPt>
          <c:cat>
            <c:strRef>
              <c:f>'Kategorie NEW'!$H$2:$H$6</c:f>
              <c:strCache>
                <c:ptCount val="5"/>
                <c:pt idx="0">
                  <c:v>Komodity pro centrální nákup - varianta 1</c:v>
                </c:pt>
                <c:pt idx="1">
                  <c:v>Komodity pro centrální nákup - další komodity ve variantě 2</c:v>
                </c:pt>
                <c:pt idx="2">
                  <c:v>Stavby</c:v>
                </c:pt>
                <c:pt idx="3">
                  <c:v>Dodávky informačních systémů</c:v>
                </c:pt>
                <c:pt idx="4">
                  <c:v>Ostatní komodity</c:v>
                </c:pt>
              </c:strCache>
            </c:strRef>
          </c:cat>
          <c:val>
            <c:numRef>
              <c:f>'Kategorie NEW'!$I$2:$I$6</c:f>
              <c:numCache>
                <c:formatCode>#,##0,," mil. Kč";\-#,##0,," mil. Kč"</c:formatCode>
                <c:ptCount val="5"/>
                <c:pt idx="0">
                  <c:v>4101584057.8300009</c:v>
                </c:pt>
                <c:pt idx="1">
                  <c:v>1853711850.7500119</c:v>
                </c:pt>
                <c:pt idx="2">
                  <c:v>5739713330.0600033</c:v>
                </c:pt>
                <c:pt idx="3">
                  <c:v>2079060523.4400005</c:v>
                </c:pt>
                <c:pt idx="4">
                  <c:v>6903776472.3300066</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7454814840117334E-2"/>
          <c:y val="0"/>
          <c:w val="0.94508976034831804"/>
          <c:h val="1"/>
        </c:manualLayout>
      </c:layout>
      <c:pieChart>
        <c:varyColors val="1"/>
        <c:ser>
          <c:idx val="0"/>
          <c:order val="0"/>
          <c:spPr>
            <a:ln w="12700">
              <a:solidFill>
                <a:schemeClr val="bg1"/>
              </a:solidFill>
            </a:ln>
          </c:spPr>
          <c:dPt>
            <c:idx val="0"/>
            <c:bubble3D val="0"/>
          </c:dPt>
          <c:dPt>
            <c:idx val="6"/>
            <c:bubble3D val="0"/>
          </c:dPt>
          <c:dPt>
            <c:idx val="7"/>
            <c:bubble3D val="0"/>
          </c:dPt>
          <c:dPt>
            <c:idx val="8"/>
            <c:bubble3D val="0"/>
          </c:dPt>
          <c:cat>
            <c:strRef>
              <c:f>'Kategorie NEW'!$C$34:$C$40</c:f>
              <c:strCache>
                <c:ptCount val="7"/>
                <c:pt idx="0">
                  <c:v>ICT komodity</c:v>
                </c:pt>
                <c:pt idx="1">
                  <c:v>Energie a správa budov</c:v>
                </c:pt>
                <c:pt idx="2">
                  <c:v>Právní, poradenské a marketingové služby</c:v>
                </c:pt>
                <c:pt idx="3">
                  <c:v>Doprava a ubytování</c:v>
                </c:pt>
                <c:pt idx="4">
                  <c:v>Vozový park a pohonné hmoty</c:v>
                </c:pt>
                <c:pt idx="5">
                  <c:v>Kancelářské potřeby, kancelářská technika</c:v>
                </c:pt>
                <c:pt idx="6">
                  <c:v>Vzdělávání a školení</c:v>
                </c:pt>
              </c:strCache>
            </c:strRef>
          </c:cat>
          <c:val>
            <c:numRef>
              <c:f>'Kategorie NEW'!$D$34:$D$40</c:f>
              <c:numCache>
                <c:formatCode>#,##0,," mil. Kč";\-#,##0,," mil. Kč"</c:formatCode>
                <c:ptCount val="7"/>
                <c:pt idx="0">
                  <c:v>2613571059.3800006</c:v>
                </c:pt>
                <c:pt idx="1">
                  <c:v>2022079876.7200015</c:v>
                </c:pt>
                <c:pt idx="2">
                  <c:v>1769554638.690012</c:v>
                </c:pt>
                <c:pt idx="3">
                  <c:v>646962885.95999992</c:v>
                </c:pt>
                <c:pt idx="4">
                  <c:v>451771728.8099997</c:v>
                </c:pt>
                <c:pt idx="5">
                  <c:v>446259030.39999998</c:v>
                </c:pt>
                <c:pt idx="6">
                  <c:v>84157212.059999883</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Motiv systému Office">
  <a:themeElements>
    <a:clrScheme name="Paleta 4703 v2">
      <a:dk1>
        <a:srgbClr val="0C0C0C"/>
      </a:dk1>
      <a:lt1>
        <a:sysClr val="window" lastClr="FFFFFF"/>
      </a:lt1>
      <a:dk2>
        <a:srgbClr val="595959"/>
      </a:dk2>
      <a:lt2>
        <a:srgbClr val="FFFFFF"/>
      </a:lt2>
      <a:accent1>
        <a:srgbClr val="093D93"/>
      </a:accent1>
      <a:accent2>
        <a:srgbClr val="2DB9FF"/>
      </a:accent2>
      <a:accent3>
        <a:srgbClr val="FFF13F"/>
      </a:accent3>
      <a:accent4>
        <a:srgbClr val="FE8F3C"/>
      </a:accent4>
      <a:accent5>
        <a:srgbClr val="66A22A"/>
      </a:accent5>
      <a:accent6>
        <a:srgbClr val="C00000"/>
      </a:accent6>
      <a:hlink>
        <a:srgbClr val="009DEA"/>
      </a:hlink>
      <a:folHlink>
        <a:srgbClr val="A5A5A5"/>
      </a:folHlink>
    </a:clrScheme>
    <a:fontScheme name="Motiv 4703">
      <a:majorFont>
        <a:latin typeface="Segoe UI Semibold"/>
        <a:ea typeface=""/>
        <a:cs typeface=""/>
      </a:majorFont>
      <a:minorFont>
        <a:latin typeface="Cambria"/>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409B2-46C0-406B-A8CA-254809EE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2079</Words>
  <Characters>12268</Characters>
  <Application>Microsoft Office Word</Application>
  <DocSecurity>0</DocSecurity>
  <Lines>102</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Ministerstvo financí</Company>
  <LinksUpToDate>false</LinksUpToDate>
  <CharactersWithSpaces>14319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Janíčková Barbora Ing.</dc:creator>
  <cp:lastModifiedBy>Janíčková Barbora Ing.</cp:lastModifiedBy>
  <cp:revision>10</cp:revision>
  <cp:lastPrinted>2015-03-31T14:01:00Z</cp:lastPrinted>
  <dcterms:created xsi:type="dcterms:W3CDTF">2015-03-31T12:03:00Z</dcterms:created>
  <dcterms:modified xsi:type="dcterms:W3CDTF">2015-03-31T14:01:00Z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 Počet faktur 2013 bez MO">
    <vt:lpwstr>62 856</vt:lpwstr>
  </property>
</Properties>
</file>